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awareness campaign on firearm safety and suicide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411.210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411.210.</w:t>
      </w:r>
      <w:r>
        <w:rPr>
          <w:u w:val="single"/>
        </w:rPr>
        <w:t xml:space="preserve"> </w:t>
      </w:r>
      <w:r>
        <w:rPr>
          <w:u w:val="single"/>
        </w:rPr>
        <w:t xml:space="preserve"> </w:t>
      </w:r>
      <w:r>
        <w:rPr>
          <w:u w:val="single"/>
        </w:rPr>
        <w:t xml:space="preserve">FIREARM SAFETY AND SUICIDE PREVENTION PUBLIC AWARENESS CAMPAIGN.  (a)  The department shall develop and implement a public awareness campaign designed to encourage firearm safety and to improve public awareness on the topics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prevention of firearm accidents involving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suicide prevention;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safe handling and storage of firearms.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campaign, the department may engage in online advocacy, issue public service announcements, and distribute materials that cover the topics described by Subsection (a).  The department may publish its own materials or may distribute materials published by firearm safety advocacy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establish a process under which an applicant for an original or renewed license under this subchapter may make a voluntary donation to support the campaign.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pay the costs of the campaign and its administration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or donations, including donations collected under Subsection (c),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matching funds;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made available for that purpose, including available department revenue.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