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86R1723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grant program to assist fire departments and volunteer fire departments with the purchase of certain equipment and machines.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419, Government Code, is amended by adding Section 419.910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419.910.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PROGRAM.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establish and administer a grant program to provide financial assistance to a fire department or volunteer fire department seeking to purchase fire-fighting equipment or a machine to clean fire-fighting equipment.  Any fire department or volunteer fire department in this state may apply for a grant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 department or volunteer fire department receiving a grant under this section must, as soon as practicable after receiving the grant, provide to the commission proof of purchase of fire-fighting equipment or a machine to clean fire-fighting equipment, including the price of each piece of equipment or machine and the number of items purchased.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 of each year, the commission shall submit a report to the Legislative Budget Board reporting the following information for the preceding state fiscal year: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each fire department and volunteer fire department that applied for a grant under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money distributed to each department that received a grant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and a description of items purchased by each department described by Subdivision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use any revenue available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