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86R788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326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by the secretary of state to increase voter turnout.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Election Code, is amended by adding Section 31.014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31.014.</w:t>
      </w:r>
      <w:r>
        <w:rPr>
          <w:u w:val="single"/>
        </w:rPr>
        <w:t xml:space="preserve"> </w:t>
      </w:r>
      <w:r>
        <w:rPr>
          <w:u w:val="single"/>
        </w:rPr>
        <w:t xml:space="preserve"> </w:t>
      </w:r>
      <w:r>
        <w:rPr>
          <w:u w:val="single"/>
        </w:rPr>
        <w:t xml:space="preserve">VOTER TURNOUT STRATEGIC PLAN.  (a)  The secretary of state shall prepare and implement a strategic plan aimed at increasing voter turnout.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plan, the secretary of state shall use evidence-based methods of increasing voter turnout and shall collaborate with institutions of higher education to determine the most appropriate measures of success and develop performance benchmarks for the increase in voter turnout.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even-numbered year, the secretary of state shall report on the progress of the strategic plan under this section in increasing voter turnout using the most recently updated data to the standing committee of each house of the legislature with primary jurisdiction over election matters.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January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secretary of state shall adopt the strategic plan under Section 31.014, Election Code, as added by this Act, not later than January 1, 2020, to be fully implemented not later than December 31,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