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excluding certain students from the computation of dropout and completion rates for purposes of public school accountability.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39.053(g-1),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In computing dropout and completion rates such as high school graduation rates under Subsection (c)(1)(B)(ix), the commissioner shall exclude: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students who are ordered by a court to attend a high school equivalency certificate program but who have not yet earned a high school equivalency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students who were previously reported to the state as dropouts, including a student who is reported as a dropout, reenrolls, and drops out again, regardless of the number of times of reenrollment and dropping out;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students in attendance who are not in membership for purposes of average daily attendance;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students whose initial enrollment in a school in the United States in grades 7 through 12 was as an unschooled asylee or refugee as defined by Section 39.027(a-1);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students who are detained at a county pre-adjudication or post-adjudication juvenile detention facility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district exclusively as a function of having been detained at the facility but are otherwise not students of the district in which the facility is located;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services by an open-enrollment charter school exclusively as the result of having been detained at the facility;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students who are incarcerated in state jails and federal penitentiaries as adults and as persons certified to stand trial as adults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who have suffered a condition, injury, or illness that requires substantial medical care and leaves the student: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attend school;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to a medical or residential treatment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