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excluding certain students from the computation of dropout and completion rates for purposes of public school accountability.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39.053(g-1),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In computing dropout and completion rates such as high school graduation rates under Subsection (c)(1)(B)(ix), the commissioner shall exclude: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students who are ordered by a court to attend a high school equivalency certificate program but who have not yet earned a high school equivalency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students who were previously reported to the state as dropouts, including a student who is reported as a dropout, reenrolls, and drops out again, regardless of the number of times of reenrollment and dropping out;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students in attendance who are not in membership for purposes of average daily attendance;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students whose initial enrollment in a school in the United States in grades 7 through 12 was as an unschooled asylee or refugee as defined by Section 39.027(a-1);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students who are detained at a county pre-adjudication or post-adjudication juvenile detention facility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district exclusively as a function of having been detained at the facility but are otherwise not students of the district in which the facility is located;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services by an open-enrollment charter school exclusively as the result of having been detained at the facility;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students who are incarcerated in state jails and federal penitentiaries as adults and as persons certified to stand trial as adults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who have suffered a condition, injury, or illness that requires substantial medical care and leaves the student: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attend school;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to a medical or residential treatment facility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330 was passed by the House on March 20,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330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