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86R2060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excluding certain students from the computation of dropout and completion rates for purposes of public school accountability.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39.053(g-1),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(g-1)</w:t>
      </w:r>
      <w:r xml:space="preserve">
        <w:t> </w:t>
      </w:r>
      <w:r xml:space="preserve">
        <w:t> </w:t>
      </w:r>
      <w:r>
        <w:t xml:space="preserve">In computing dropout and completion rates such as high school graduation rates under Subsection (c)(1)(B)(ix), the commissioner shall exclude: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students who are ordered by a court to attend a high school equivalency certificate program but who have not yet earned a high school equivalency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students who were previously reported to the state as dropouts, including a student who is reported as a dropout, reenrolls, and drops out again, regardless of the number of times of reenrollment and dropping out;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students in attendance who are not in membership for purposes of average daily attendance;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students whose initial enrollment in a school in the United States in grades 7 through 12 was as an unschooled asylee or refugee as defined by Section 39.027(a-1);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students who are detained at a county pre-adjudication or post-adjudication juvenile detention facility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the district exclusively as a function of having been detained at the facility but are otherwise not students of the district in which the facility is located;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provided services by an open-enrollment charter school exclusively as the result of having been detained at the facility;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students who are incarcerated in state jails and federal penitentiaries as adults and as persons certified to stand trial as adults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students who have suffered a condition, injury, or illness that requires substantial medical care and leaves the student unable to attend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