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penalties for possession of one ounce or less of marihuana and eligibility for placement on community supervision or on deferred adjudication community supervision for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 Health and Safety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 except as provided by Subsection (c);</w:t>
      </w:r>
    </w:p>
    <w:p w:rsidR="003F3435" w:rsidRDefault="0032493E">
      <w:pPr>
        <w:spacing w:line="480" w:lineRule="auto"/>
        <w:ind w:firstLine="1440"/>
        <w:jc w:val="both"/>
      </w:pPr>
      <w:r>
        <w:rPr>
          <w:u w:val="single"/>
        </w:rPr>
        <w:t xml:space="preserve">(2)</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(b)(1) is a Class B misdemeanor if it is shown on the trial of the offense that the defendant has been previously convicted three or more times of an offense involving the possession of marihuana and each prior offense was committed within the 24-month period preceding the date of the commission of the instant offense. For purposes of this subsection, "offense involving the possession of marihuana" means an offense under this section or an offense under the laws of another state that contains elements substantially similar to the elements of an offense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convicted of an offense punishable under Subsection (c) is not eligible for community supervision under Chapter 42A,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(6), or (7)</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w:t>
      </w:r>
      <w:r>
        <w:rPr>
          <w:u w:val="single"/>
        </w:rPr>
        <w:t xml:space="preserve">, (b)(2), or (c)</w:t>
      </w:r>
      <w:r>
        <w:t xml:space="preserve"> </w:t>
      </w:r>
      <w:r>
        <w:t xml:space="preserve">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(b)(3), or (c)</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rPr>
          <w:u w:val="single"/>
        </w:rPr>
        <w:t xml:space="preserve">481.121(b)(4)</w:t>
      </w:r>
      <w:r>
        <w:t xml:space="preserve"> [</w:t>
      </w:r>
      <w:r>
        <w:rPr>
          <w:strike/>
        </w:rPr>
        <w:t xml:space="preserve">481.121(b)(3)</w:t>
      </w:r>
      <w:r>
        <w:t xml:space="preserve">], Health and Safety Code, possessed more than one pound of marihuana.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45.051,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 defendant charged with an offense under Section 481.121, Health and Safety Code, who is granted a deferral under Subsection (a). In addition to any other requirement, the judge shall, during the deferral period, require that the defendant successfully complete a drug abuse awareness and education program approved by the Department of State Health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