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placement of speed limit signs at the end of construction or maintenance work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545, Transportation Code, is amended by adding Section 545.364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SPEED LIMIT SIGNS AFTER CONSTRUCTION OR MAINTENANCE WORK ZONE.  (a) In this section, "construction or maintenance work zone" has the meaning assigned by Section 472.022.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 sets a lower speed limit on a road or highway in the state highway system for a construction or maintenance work zone shall place or require to be placed a sign at the end of the zone that indicates the speed limit after the zone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