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86R3342 TSS-F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Nevárez</w:t>
      </w:r>
      <w:r xml:space="preserve">
        <w:tab wTab="150" tlc="none" cTlc="0"/>
      </w:r>
      <w:r>
        <w:t xml:space="preserve">H.B.</w:t>
      </w:r>
      <w:r xml:space="preserve">
        <w:t> </w:t>
      </w:r>
      <w:r>
        <w:t xml:space="preserve">No.</w:t>
      </w:r>
      <w:r xml:space="preserve">
        <w:t> </w:t>
      </w:r>
      <w:r>
        <w:t xml:space="preserve">343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annual state salary supplement for certain county judges.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26.006(a), Government Code, is amended to read as follows:</w:t>
      </w:r>
    </w:p>
    <w:p w:rsidR="003F3435" w:rsidRDefault="0032493E">
      <w:pPr>
        <w:spacing w:line="480" w:lineRule="auto"/>
        <w:ind w:firstLine="720"/>
        <w:jc w:val="both"/>
      </w:pPr>
      <w:r>
        <w:t xml:space="preserve">(a)</w:t>
      </w:r>
      <w:r xml:space="preserve">
        <w:t> </w:t>
      </w:r>
      <w:r xml:space="preserve">
        <w:t> </w:t>
      </w:r>
      <w:r>
        <w:t xml:space="preserve">A county judge is entitled to an annual salary supplement from the state in an amount equal to </w:t>
      </w:r>
      <w:r>
        <w:rPr>
          <w:u w:val="single"/>
        </w:rPr>
        <w:t xml:space="preserve">25</w:t>
      </w:r>
      <w:r>
        <w:t xml:space="preserve"> [</w:t>
      </w:r>
      <w:r>
        <w:rPr>
          <w:strike/>
        </w:rPr>
        <w:t xml:space="preserve">18</w:t>
      </w:r>
      <w:r>
        <w:t xml:space="preserve">] percent of the annual compensation provided for a district judge in the General Appropriations Act if at least 40 percent of the functions that the judge performs are judicial functions.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takes effect on the effective date of this Act and applies only to a salary payment for a pay period beginning on or after that date.  A salary payment for a pay period beginning before the effective date of this Act is governed by the law in effect on the date the pay period began,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343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