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86R1816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346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bow fishing.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66, Parks and Wildlife Code, is amended by adding Section 66.116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66.116.</w:t>
      </w:r>
      <w:r>
        <w:rPr>
          <w:u w:val="single"/>
        </w:rPr>
        <w:t xml:space="preserve"> </w:t>
      </w:r>
      <w:r>
        <w:rPr>
          <w:u w:val="single"/>
        </w:rPr>
        <w:t xml:space="preserve"> </w:t>
      </w:r>
      <w:r>
        <w:rPr>
          <w:u w:val="single"/>
        </w:rPr>
        <w:t xml:space="preserve">BOW FISHING.  (a)  In this section, "bow fishing" means fishing by use of archery equipment, including a longbow, recurved bow, compound bow, or crossbow.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the required fishing license and freshwater fishing stamp issued to the person by the department may engage in bow fishing for catfish in the public fresh water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related to bow fishing.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