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 possession, manufacture, transport, repair, or sale of certain parts designed to increase the rate of fire of a semiautomatic rifle.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improvised explosive device</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part or combination of parts that is designed and functions to increase the rate of fire of a semiautomatic rifle but does not convert the semiautomatic rifle into a machine gun</w:t>
      </w:r>
      <w:r>
        <w:t xml:space="preserve">.</w:t>
      </w:r>
    </w:p>
    <w:p w:rsidR="003F3435" w:rsidRDefault="0032493E">
      <w:pPr>
        <w:spacing w:line="480" w:lineRule="auto"/>
        <w:ind w:firstLine="720"/>
        <w:jc w:val="both"/>
      </w:pPr>
      <w:r>
        <w:t xml:space="preserve">(e)</w:t>
      </w:r>
      <w:r xml:space="preserve">
        <w:t> </w:t>
      </w:r>
      <w:r xml:space="preserve">
        <w:t> </w:t>
      </w:r>
      <w:r>
        <w:t xml:space="preserve">An offense under Subsection (a)(1), (3), (4), (5), [</w:t>
      </w:r>
      <w:r>
        <w:rPr>
          <w:strike/>
        </w:rPr>
        <w:t xml:space="preserve">or</w:t>
      </w:r>
      <w:r>
        <w:t xml:space="preserve">] (7)</w:t>
      </w:r>
      <w:r>
        <w:rPr>
          <w:u w:val="single"/>
        </w:rPr>
        <w:t xml:space="preserve">, or (8)</w:t>
      </w:r>
      <w:r>
        <w:t xml:space="preserve"> is a felony of the third degree.  An offense under Subsection (a)(6) is a state jail felony.  An offense under Subsection (a)(2) </w:t>
      </w:r>
      <w:r>
        <w:rPr>
          <w:u w:val="single"/>
        </w:rPr>
        <w:t xml:space="preserve">or (9)</w:t>
      </w:r>
      <w:r>
        <w:t xml:space="preserve">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