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86R1585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Blanco, Capriglione, Dean, Minjarez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composition of the cybersecurity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2054.512(b),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cybersecurity council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one member who is an employee of the office of the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one member of the senate appointed by the lieutenant governor;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one member of the house of representatives appointed by the speaker of the house of representatives;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rPr>
          <w:u w:val="single"/>
        </w:rPr>
        <w:t xml:space="preserve">one member who is an employee of the Elections Division of the Office of the Secretary of State;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 xml:space="preserve">
        <w:t> </w:t>
      </w:r>
      <w:r>
        <w:t xml:space="preserve">additional members appointed by the state cybersecurity coordinator, including representatives of institutions of higher education and private sector leaders.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