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86R297 DMS-D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Herrero, Wu,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exemption of certain firefighters and police officers from jury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62.106(a),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qualified to serve as a petit juror may establish an exemption from jury service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over 70 years of 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legal custody of a child younger than 12 years of age and the person's service on the jury requires leaving the child without adequate supervision;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a student of a public or private secondary school;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is a person enrolled and in actual attendance at an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an officer or an employee of the senate, the house of representatives, or any department, commission, board, office, or other agency in the legislative branch of state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is summoned for service in a county with a population of at least 200,000, unless that county uses a jury plan under Section 62.011 and the period authorized under Section 62.011(b)(5) exceeds two years, and the person has served as a petit juror in the county during the 24-month period preceding the date the person is to appear for jury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is the primary caretaker of a person who is unable to care for himself or herself;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except as provided by Subsection (b), is summoned for service in a county with a population of at least 250,000 and the person has served as a petit juror in the county during the three-year period preceding the date the person is to appear for jury service;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is a member of the United States military forces serving on active duty and deployed to a location away from the person's home station and out of the person's county of residence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firefighter, including a fire chief,  who is a permanent, paid employee of the fire department of a municipality or county or of a special district or authority that provides firefighting services;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police officer, including a police chief, who is a permanent, paid employee of the police department of a municipality or county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the establishment of an exemption from jury service for a person summoned to appear for jury service on a date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