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86R258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tuition and fee bills or billing statements provided to students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54.015.</w:t>
      </w:r>
      <w:r xml:space="preserve">
        <w:t> </w:t>
      </w:r>
      <w:r xml:space="preserve">
        <w:t> </w:t>
      </w:r>
      <w:r>
        <w:t xml:space="preserve">BILLING AND NOTIFICATION FOR TUITION </w:t>
      </w:r>
      <w:r>
        <w:rPr>
          <w:u w:val="single"/>
        </w:rPr>
        <w:t xml:space="preserve">AND FEES</w:t>
      </w:r>
      <w:r>
        <w:t xml:space="preserve">.  </w:t>
      </w:r>
      <w:r>
        <w:rPr>
          <w:u w:val="single"/>
        </w:rPr>
        <w:t xml:space="preserve">(a)  An institution of higher education shall provide to each student enrolled at the institution for a semester or term a tuition and fee bill or other billing statement for that semester or term. The bill or statement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the total amount of all tuition and fees charged to the student for the semester or term;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itemized list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tuition and each fee charged to the student by the institution for each course in which the student is enrolled for that semester or term;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other fee charged to the student by the institution for that semester or term.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For billing and catalogue purposes, each governing board shall accumulate all the tuition that it charges under this chapter into one tuition charge.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