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legislatively produced audio or visual materials in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306.005,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306.006(a)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purpose" means a purpose that is intended to result in a profit or other tangible benefit.</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 was passed by the House on April 17, 2019,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