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86R1405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community supervision and corrections department policy regarding supervision officer meetings and visits.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76, Government Code, is amended by adding Section 76.019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76.019.</w:t>
      </w:r>
      <w:r>
        <w:rPr>
          <w:u w:val="single"/>
        </w:rPr>
        <w:t xml:space="preserve"> </w:t>
      </w:r>
      <w:r>
        <w:rPr>
          <w:u w:val="single"/>
        </w:rPr>
        <w:t xml:space="preserve"> </w:t>
      </w:r>
      <w:r>
        <w:rPr>
          <w:u w:val="single"/>
        </w:rPr>
        <w:t xml:space="preserve">POLICY REGARDING SUPERVISION OFFICER MEETINGS AND VISITS.  A community supervision and corrections department shall adopt a policy regarding the scheduling of meetings or visits with a defendant placed on community supervision and supervised by the department.  The policy must require the officer supervising the defendant to take into consideration the defendant's work, treatment, or community service schedule, as applicable, when scheduling any required meetings or visits.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2020, each community supervision and corrections department shall adopt the policy required by Section 76.019,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