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Geren, et al.</w:t>
      </w:r>
      <w:r>
        <w:t xml:space="preserve"> (Senate Sponsor</w:t>
      </w:r>
      <w:r xml:space="preserve">
        <w:t> </w:t>
      </w:r>
      <w:r>
        <w:t xml:space="preserve">-</w:t>
      </w:r>
      <w:r xml:space="preserve">
        <w:t> </w:t>
      </w:r>
      <w:r>
        <w:t xml:space="preserve">Hancock)</w:t>
      </w:r>
      <w:r xml:space="preserve">
        <w:tab wTab="150" tlc="none" cTlc="0"/>
      </w:r>
      <w:r>
        <w:t xml:space="preserve">H.B.</w:t>
      </w:r>
      <w:r xml:space="preserve">
        <w:t> </w:t>
      </w:r>
      <w:r>
        <w:t xml:space="preserve">No.</w:t>
      </w:r>
      <w:r xml:space="preserve">
        <w:t> </w:t>
      </w:r>
      <w:r>
        <w:t xml:space="preserve">380</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23,</w:t>
      </w:r>
      <w:r xml:space="preserve">
        <w:t> </w:t>
      </w:r>
      <w:r>
        <w:t xml:space="preserve">2019; April</w:t>
      </w:r>
      <w:r xml:space="preserve">
        <w:t> </w:t>
      </w:r>
      <w:r>
        <w:t xml:space="preserve">24,</w:t>
      </w:r>
      <w:r xml:space="preserve">
        <w:t> </w:t>
      </w:r>
      <w:r>
        <w:t xml:space="preserve">2019, read first time and referred to Committee on Property Tax; May</w:t>
      </w:r>
      <w:r xml:space="preserve">
        <w:t> </w:t>
      </w:r>
      <w:r>
        <w:t xml:space="preserve">6,</w:t>
      </w:r>
      <w:r xml:space="preserve">
        <w:t> </w:t>
      </w:r>
      <w:r>
        <w:t xml:space="preserve">2019, reported favorably by the following vote:</w:t>
      </w:r>
      <w:r>
        <w:t xml:space="preserve"> </w:t>
      </w:r>
      <w:r>
        <w:t xml:space="preserve"> </w:t>
      </w:r>
      <w:r>
        <w:t xml:space="preserve">Yeas</w:t>
      </w:r>
      <w:r xml:space="preserve">
        <w:t> </w:t>
      </w:r>
      <w:r>
        <w:t xml:space="preserve">5, Nays</w:t>
      </w:r>
      <w:r xml:space="preserve">
        <w:t> </w:t>
      </w:r>
      <w:r>
        <w:t xml:space="preserve">0; May</w:t>
      </w:r>
      <w:r xml:space="preserve">
        <w:t> </w:t>
      </w:r>
      <w:r>
        <w:t xml:space="preserve">6,</w:t>
      </w:r>
      <w:r xml:space="preserve">
        <w:t> </w:t>
      </w:r>
      <w:r>
        <w:t xml:space="preserve">2019,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authority of a district court to hear and determine certain ad valorem tax appeals.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42.01, Tax Code, is amended by amending Subsection (a) and adding Subsection (c) to read as follows:</w:t>
      </w:r>
    </w:p>
    <w:p w:rsidR="003F3435" w:rsidRDefault="0032493E">
      <w:pPr>
        <w:spacing w:line="480" w:lineRule="auto"/>
        <w:ind w:firstLine="720"/>
        <w:jc w:val="both"/>
      </w:pPr>
      <w:r>
        <w:t xml:space="preserve">(a)</w:t>
      </w:r>
      <w:r xml:space="preserve">
        <w:t> </w:t>
      </w:r>
      <w:r xml:space="preserve">
        <w:t> </w:t>
      </w:r>
      <w:r>
        <w:t xml:space="preserve">A property owner is entitled to appeal:</w:t>
      </w:r>
    </w:p>
    <w:p w:rsidR="003F3435" w:rsidRDefault="0032493E">
      <w:pPr>
        <w:spacing w:line="480" w:lineRule="auto"/>
        <w:ind w:firstLine="1440"/>
        <w:jc w:val="both"/>
      </w:pPr>
      <w:r>
        <w:t xml:space="preserve">(1)</w:t>
      </w:r>
      <w:r xml:space="preserve">
        <w:t> </w:t>
      </w:r>
      <w:r xml:space="preserve">
        <w:t> </w:t>
      </w:r>
      <w:r>
        <w:t xml:space="preserve">an order of the appraisal review board determining:</w:t>
      </w:r>
    </w:p>
    <w:p w:rsidR="003F3435" w:rsidRDefault="0032493E">
      <w:pPr>
        <w:spacing w:line="480" w:lineRule="auto"/>
        <w:ind w:firstLine="2160"/>
        <w:jc w:val="both"/>
      </w:pPr>
      <w:r>
        <w:t xml:space="preserve">(A)</w:t>
      </w:r>
      <w:r xml:space="preserve">
        <w:t> </w:t>
      </w:r>
      <w:r xml:space="preserve">
        <w:t> </w:t>
      </w:r>
      <w:r>
        <w:t xml:space="preserve">a protest by the property owner as provided by Subchapter C of Chapter 41;</w:t>
      </w:r>
    </w:p>
    <w:p w:rsidR="003F3435" w:rsidRDefault="0032493E">
      <w:pPr>
        <w:spacing w:line="480" w:lineRule="auto"/>
        <w:ind w:firstLine="2160"/>
        <w:jc w:val="both"/>
      </w:pPr>
      <w:r>
        <w:t xml:space="preserve">(B)</w:t>
      </w:r>
      <w:r xml:space="preserve">
        <w:t> </w:t>
      </w:r>
      <w:r xml:space="preserve">
        <w:t> </w:t>
      </w:r>
      <w:r>
        <w:t xml:space="preserve">a [</w:t>
      </w:r>
      <w:r>
        <w:rPr>
          <w:strike/>
        </w:rPr>
        <w:t xml:space="preserve">determination of an appraisal review board on a</w:t>
      </w:r>
      <w:r>
        <w:t xml:space="preserve">] motion filed under Section 25.25;</w:t>
      </w:r>
    </w:p>
    <w:p w:rsidR="003F3435" w:rsidRDefault="0032493E">
      <w:pPr>
        <w:spacing w:line="480" w:lineRule="auto"/>
        <w:ind w:firstLine="2160"/>
        <w:jc w:val="both"/>
      </w:pPr>
      <w:r>
        <w:t xml:space="preserve">(C)</w:t>
      </w:r>
      <w:r xml:space="preserve">
        <w:t> </w:t>
      </w:r>
      <w:r xml:space="preserve">
        <w:t> </w:t>
      </w:r>
      <w:r>
        <w:t xml:space="preserve">[</w:t>
      </w:r>
      <w:r>
        <w:rPr>
          <w:strike/>
        </w:rPr>
        <w:t xml:space="preserve">a determination of an appraisal review board</w:t>
      </w:r>
      <w:r>
        <w:t xml:space="preserve">] that the property owner has forfeited the right to a final determination of a motion filed under Section 25.25 or of a protest under Section 41.411 for failing to comply with the prepayment requirements of Section 25.26 or 41.4115, as applicable; [</w:t>
      </w:r>
      <w:r>
        <w:rPr>
          <w:strike/>
        </w:rPr>
        <w:t xml:space="preserve">or</w:t>
      </w:r>
      <w:r>
        <w:t xml:space="preserve">]</w:t>
      </w:r>
    </w:p>
    <w:p w:rsidR="003F3435" w:rsidRDefault="0032493E">
      <w:pPr>
        <w:spacing w:line="480" w:lineRule="auto"/>
        <w:ind w:firstLine="2160"/>
        <w:jc w:val="both"/>
      </w:pPr>
      <w:r>
        <w:t xml:space="preserve">(D)</w:t>
      </w:r>
      <w:r xml:space="preserve">
        <w:t> </w:t>
      </w:r>
      <w:r xml:space="preserve">
        <w:t> </w:t>
      </w:r>
      <w:r>
        <w:t xml:space="preserve">[</w:t>
      </w:r>
      <w:r>
        <w:rPr>
          <w:strike/>
        </w:rPr>
        <w:t xml:space="preserve">a determination of an appraisal review board of</w:t>
      </w:r>
      <w:r>
        <w:t xml:space="preserve">] eligibility for a refund requested under Section 23.1243;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that the appraisal review board lacks jurisdiction to finally determine a protest by the property owner under Subchapter C, Chapter 41, or a motion filed by the property owner under Section 25.25 because the property owner failed to comply with a requirement of Subchapter C, Chapter 41, or Section 25.25, as applicable; or</w:t>
      </w:r>
    </w:p>
    <w:p w:rsidR="003F3435" w:rsidRDefault="0032493E">
      <w:pPr>
        <w:spacing w:line="480" w:lineRule="auto"/>
        <w:ind w:firstLine="1440"/>
        <w:jc w:val="both"/>
      </w:pPr>
      <w:r>
        <w:t xml:space="preserve">(2)</w:t>
      </w:r>
      <w:r xml:space="preserve">
        <w:t> </w:t>
      </w:r>
      <w:r xml:space="preserve">
        <w:t> </w:t>
      </w:r>
      <w:r>
        <w:t xml:space="preserve">an order of the comptroller issued as provided by Subchapter B, Chapter 24, apportioning among the counties the appraised value of railroad rolling stock owned by the property owner.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property owner who establishes that the appraisal review board had jurisdiction to issue a final determination of the protest by the property owner under Subchapter C, Chapter 41, or of the motion filed by the property owner under Section 25.25 in an appeal under Subsection (a)(1)(E) of this section is entitled to a final determination by the court of the protest under Subchapter C, Chapter 41, or of the motion filed under Section 25.25.  A final determination of a protest under Subchapter C, Chapter 41, by the court under this subsection may be on any ground of protest authorized by this title applicable to the property that is the subject of the protest, regardless of whether the property owner included the ground in the property owner's notice of protest.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42, Tax Code, is amended by adding Section 42.231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42.231.</w:t>
      </w:r>
      <w:r>
        <w:rPr>
          <w:u w:val="single"/>
        </w:rPr>
        <w:t xml:space="preserve"> </w:t>
      </w:r>
      <w:r>
        <w:rPr>
          <w:u w:val="single"/>
        </w:rPr>
        <w:t xml:space="preserve"> </w:t>
      </w:r>
      <w:r>
        <w:rPr>
          <w:u w:val="single"/>
        </w:rPr>
        <w:t xml:space="preserve">JURISDICTION OF DISTRICT COURT; REMAND OF CERTAIN APPEALS.  (a)  This section applies only to an appeal by a property owner of an order of the appraisal review board determining: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protest by the property owner as provided by Subchapter C, Chapter 41;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motion filed by the property owner under Section 25.25.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the provisions of this section and notwithstanding any other law, if a plea to the jurisdiction is filed in the appeal on the basis that the property owner failed to exhaust the property owner's administrative remedies, the court may, in lieu of dismissing the appeal for lack of jurisdiction, remand the action to the appraisal review board with instructions to allow the property owner an opportunity to cure the property owner's failure to exhaust administrative remedies.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action remanded to the appraisal review board under Subsection (b) is considered to be a timely filed protest under Subchapter C, Chapter 41, or motion under Section 25.25, as applicable.  The appraisal review board shall schedule a hearing on the protest or motion and issue a written decision determining the protest or motion in the manner required by Subchapter C, Chapter 41, or Section 25.25, as applicable.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determination of the appraisal review board relating to the remanded action may be appealed to the court that remanded the action to the board.  A determination appealed to the court under this subsection may not be the subject of a plea to the jurisdiction on the basis of the property owner's failure to exhaust administrative remedies.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Subsection (b), on agreement of each party to the appeal and with the approval of the court, the parties to the appeal may waive remand of the action to the appraisal review board and elect that the court determine the appeal on the merits.  If the parties waive remand of the action under this subsection, each party is considered to have exhausted the party's administrative remedies.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an appeal under Chapter 42, Tax Code, that is filed on or after the effective date of this Act.  An appeal under Chapter 42, Tax Code, that is filed before the effective date of this Act is governed by the law in effect on the date the appeal is filed,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2019.</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380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