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86R2546 YDB-D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for the Texas Peace Officers' Memorial Monument.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3105.003(a),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eligible to have the person's name on the monument if the person was killed in the line of duty and was: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law enforcement officer or peace officer for this state or a political subdivision of this state under Article 2.12, Code of Criminal Procedure, or other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federal law enforcement officer or special agent performing duties in this state, including those officers under Article 2.122, Code of Criminal Procedure;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corrections or detention officer or county or municipal jailer employed or appointed by a municipal, county, or state penal institution in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employed by this state or a political subdivision of this state and considered by the person's employer to be a trainee for a position described by Subdivision (1), (2), or (3)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