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86R3255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establish a customer assistance program for certain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552, Local Government Code, is amended by adding Section 552.916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552.916.</w:t>
      </w:r>
      <w:r>
        <w:rPr>
          <w:u w:val="single"/>
        </w:rPr>
        <w:t xml:space="preserve"> </w:t>
      </w:r>
      <w:r>
        <w:rPr>
          <w:u w:val="single"/>
        </w:rPr>
        <w:t xml:space="preserve"> </w:t>
      </w:r>
      <w:r>
        <w:rPr>
          <w:u w:val="single"/>
        </w:rPr>
        <w:t xml:space="preserve">CUSTOMER ASSISTANCE PROGRAM AUTHORITY FOR CERTAIN UTILITIES.  (a)  This section applies only to a board of trustees described by Section 1502.070(a)(2)(B),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of trustees has the authority to establish a bill payment assistance program for its utility system's customers who have exhausted all private and nonprofit sources of utility assistance.  The program must be for customers: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received notice of disconnection of service for nonpayment of bills;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the utility determines are low-income customers.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