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86R2109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Bailes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game rooms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234.132,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234.132.</w:t>
      </w:r>
      <w:r xml:space="preserve">
        <w:t> </w:t>
      </w:r>
      <w:r xml:space="preserve">
        <w:t> </w:t>
      </w:r>
      <w:r>
        <w:t xml:space="preserve">APPLICABILITY.</w:t>
      </w:r>
      <w:r xml:space="preserve">
        <w:t> </w:t>
      </w:r>
      <w:r xml:space="preserve">
        <w:t> </w:t>
      </w:r>
      <w:r>
        <w:t xml:space="preserve">This subchapter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county that has a population of less than 25,000, is adjacent to the Gulf of Mexico, and is within 50 miles of an international border;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county that has a population of four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county that is adjacent to the Gulf of Mexico and to a county that has a population of four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county located on the Texas-Mexico border that has a population of less than 300,000 and contains a municipality with a population of 200,000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county that has a population of 550,000 or more and is adjacent to a county described by Subdivision (2);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county that is located in the Permian Basin within 25 miles of this state's border with another state of the United States and has a population of more than 130,000;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county that is located on this state's border with Louisiana, has a population of more than 65,000, and is within 50 miles of a municipality in Louisiana with a population of more than 150,000;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county that has a population of more than 200,000 and less than 220,000;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county that has a population of more than 1.8 million and that is adjacent to a county with a population of more than 2.2 million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that has a population of more than 75,000 and is adjacent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described by Subdivision (2);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described by Subdivision (3)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