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396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25,</w:t>
      </w:r>
      <w:r xml:space="preserve">
        <w:t> </w:t>
      </w:r>
      <w:r>
        <w:t xml:space="preserve">2019; March</w:t>
      </w:r>
      <w:r xml:space="preserve">
        <w:t> </w:t>
      </w:r>
      <w:r>
        <w:t xml:space="preserve">27,</w:t>
      </w:r>
      <w:r xml:space="preserve">
        <w:t> </w:t>
      </w:r>
      <w:r>
        <w:t xml:space="preserve">2019, read first time and referred to Committee on Education; May</w:t>
      </w:r>
      <w:r xml:space="preserve">
        <w:t> </w:t>
      </w:r>
      <w:r>
        <w:t xml:space="preserve">14,</w:t>
      </w:r>
      <w:r xml:space="preserve">
        <w:t> </w:t>
      </w:r>
      <w:r>
        <w:t xml:space="preserve">2019, reported favorably by the following vote:</w:t>
      </w:r>
      <w:r>
        <w:t xml:space="preserve"> </w:t>
      </w:r>
      <w:r>
        <w:t xml:space="preserve"> </w:t>
      </w:r>
      <w:r>
        <w:t xml:space="preserve">Yeas 10,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acceptable uses of the instructional materials and technology fund and the instructional materials and technology allotment.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31.021(c), Education Code, as amended by Chapters 581 (S.B. 810) and 705 (H.B. 3526),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 or licensing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w:t>
      </w:r>
      <w:r>
        <w:rPr>
          <w:strike/>
        </w:rPr>
        <w:t xml:space="preserve">intrastate</w:t>
      </w:r>
      <w:r>
        <w:t xml:space="preserve">] freight and shipping and the insurance expenses associated with [</w:t>
      </w:r>
      <w:r>
        <w:rPr>
          <w:strike/>
        </w:rPr>
        <w:t xml:space="preserve">intrastate</w:t>
      </w:r>
      <w:r>
        <w:t xml:space="preserve">]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 and</w:t>
      </w:r>
    </w:p>
    <w:p w:rsidR="003F3435" w:rsidRDefault="0032493E">
      <w:pPr>
        <w:spacing w:line="480" w:lineRule="auto"/>
        <w:ind w:firstLine="1440"/>
        <w:jc w:val="both"/>
      </w:pPr>
      <w:r>
        <w:t xml:space="preserve">(8)</w:t>
      </w:r>
      <w:r xml:space="preserve">
        <w:t> </w:t>
      </w:r>
      <w:r xml:space="preserve">
        <w:t> </w:t>
      </w:r>
      <w:r>
        <w:t xml:space="preserve">pay the expenses associated with the instructional materials web portal developed under Section 31.081.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and</w:t>
      </w:r>
    </w:p>
    <w:p w:rsidR="003F3435" w:rsidRDefault="0032493E">
      <w:pPr>
        <w:spacing w:line="480" w:lineRule="auto"/>
        <w:ind w:firstLine="2160"/>
        <w:jc w:val="both"/>
      </w:pPr>
      <w:r>
        <w:t xml:space="preserve">(B)</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