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w:t xml:space="preserve"> (Senate Sponsor</w:t>
      </w:r>
      <w:r xml:space="preserve">
        <w:t> </w:t>
      </w:r>
      <w:r>
        <w:t xml:space="preserve">-</w:t>
      </w:r>
      <w:r xml:space="preserve">
        <w:t> </w:t>
      </w:r>
      <w:r>
        <w:t xml:space="preserve">Zaffirini)</w:t>
      </w:r>
      <w:r xml:space="preserve">
        <w:tab wTab="150" tlc="none" cTlc="0"/>
      </w:r>
      <w:r>
        <w:t xml:space="preserve">H.B.</w:t>
      </w:r>
      <w:r xml:space="preserve">
        <w:t> </w:t>
      </w:r>
      <w:r>
        <w:t xml:space="preserve">No.</w:t>
      </w:r>
      <w:r xml:space="preserve">
        <w:t> </w:t>
      </w:r>
      <w:r>
        <w:t xml:space="preserve">402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Business &amp; Commerce; April</w:t>
      </w:r>
      <w:r xml:space="preserve">
        <w:t> </w:t>
      </w:r>
      <w:r>
        <w:t xml:space="preserve">29,</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adoption of the Uniform Electronic Legal Material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2051, Government Code, is amended by adding Subchapter E to read as follows:</w:t>
      </w:r>
    </w:p>
    <w:p w:rsidR="003F3435" w:rsidRDefault="0032493E">
      <w:pPr>
        <w:spacing w:line="480" w:lineRule="auto"/>
        <w:jc w:val="center"/>
      </w:pPr>
      <w:r>
        <w:rPr>
          <w:u w:val="single"/>
        </w:rPr>
        <w:t xml:space="preserve">SUBCHAPTER 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2051.151.</w:t>
      </w:r>
      <w:r>
        <w:rPr>
          <w:u w:val="single"/>
        </w:rPr>
        <w:t xml:space="preserve"> </w:t>
      </w:r>
      <w:r>
        <w:rPr>
          <w:u w:val="single"/>
        </w:rPr>
        <w:t xml:space="preserve"> </w:t>
      </w:r>
      <w:r>
        <w:rPr>
          <w:u w:val="single"/>
        </w:rPr>
        <w:t xml:space="preserve">SHORT TITLE.  This subchapter may be cited as the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 material" means, whether or not in effect: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constitution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or special laws passed in a regular or special session of the Texas Legislature;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 agency rule adopted in accordance with Chapter 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"Official publisher"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legal material described by Subdivision (2)(A), the Texas Legislative Council;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legal material described by Subdivision (2)(B) or (C), 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"Publish" means displaying, presenting, or releasing to the public, or causing to be displayed, presented, or released to the public, legal material by the official publisher.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"Record" means information that is inscribed on a tangible medium or that is stored in an electronic or other medium and is retrievable in perceivable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2051.153.</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subchapter applies to all legal material in an electronic record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as official by the official publisher under Section 2051.154;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published electronically by the official publisher on or after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is not required to publish legal material on or before the date on which the legal material takes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2051.154.</w:t>
      </w:r>
      <w:r>
        <w:rPr>
          <w:u w:val="single"/>
        </w:rPr>
        <w:t xml:space="preserve"> </w:t>
      </w:r>
      <w:r>
        <w:rPr>
          <w:u w:val="single"/>
        </w:rPr>
        <w:t xml:space="preserve"> </w:t>
      </w:r>
      <w:r>
        <w:rPr>
          <w:u w:val="single"/>
        </w:rPr>
        <w:t xml:space="preserve">LEGAL MATERIAL IN OFFICIAL ELECTRONIC RECORD.  (a)  If the official publisher publishes legal material only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the electronic record as official;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Sections 2051.155, 2051.157, and 2051.158.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official publisher publishes legal material in an electronic record and also publishes the material in a record other than an electronic record, the official publisher may designate the electronic record as official if the official publisher complies with Sections 2051.155, 2051.157, and 2051.158.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2051.155.</w:t>
      </w:r>
      <w:r>
        <w:rPr>
          <w:u w:val="single"/>
        </w:rPr>
        <w:t xml:space="preserve"> </w:t>
      </w:r>
      <w:r>
        <w:rPr>
          <w:u w:val="single"/>
        </w:rPr>
        <w:t xml:space="preserve"> </w:t>
      </w:r>
      <w:r>
        <w:rPr>
          <w:u w:val="single"/>
        </w:rPr>
        <w:t xml:space="preserve">AUTHENTICATION OF OFFICIAL ELECTRONIC RECORD.  (a)  If the official publisher designates an electronic record as official in accordance with Section 2051.154, the official publisher shall authenticate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authenticates an electronic record by providing a method with which a person viewing the electronic record is able to determine that the electronic record is unaltered from the official record published by the official publisher.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2051.156.</w:t>
      </w:r>
      <w:r>
        <w:rPr>
          <w:u w:val="single"/>
        </w:rPr>
        <w:t xml:space="preserve"> </w:t>
      </w:r>
      <w:r>
        <w:rPr>
          <w:u w:val="single"/>
        </w:rPr>
        <w:t xml:space="preserve"> </w:t>
      </w:r>
      <w:r>
        <w:rPr>
          <w:u w:val="single"/>
        </w:rPr>
        <w:t xml:space="preserve">EFFECT OF AUTHENTICATION.  (a)  Legal material in an electronic record that is authenticated as provided by Section 2051.155 is presumed to be an accurate copy of the legal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another state has adopted a law that is substantially similar to this subchapter, legal material in an electronic record that is authenticated in that state is presumed to be an accurate copy of the legal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contesting the authenticity of legal material in an electronic record authenticated as provided by Section 2051.155 has the burden of proving by a preponderance of the evidence that the record is not authentic.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2051.157.</w:t>
      </w:r>
      <w:r>
        <w:rPr>
          <w:u w:val="single"/>
        </w:rPr>
        <w:t xml:space="preserve"> </w:t>
      </w:r>
      <w:r>
        <w:rPr>
          <w:u w:val="single"/>
        </w:rPr>
        <w:t xml:space="preserve"> </w:t>
      </w:r>
      <w:r>
        <w:rPr>
          <w:u w:val="single"/>
        </w:rPr>
        <w:t xml:space="preserve">PRESERVATION AND SECURITY OF LEGAL MATERIAL IN OFFICIAL ELECTRONIC RECORD.  (a)  The official publisher of legal material in an electronic record designated as official in accordance with Section 2051.154 shall provide for the preservation and security of the record in an electronic form or in a form that is not electronic.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legal material is preserved under Subsection (a)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integrity of the record;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backup and disaster recovery of the record;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continuing usability of the legal material in the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2051.158.</w:t>
      </w:r>
      <w:r>
        <w:rPr>
          <w:u w:val="single"/>
        </w:rPr>
        <w:t xml:space="preserve"> </w:t>
      </w:r>
      <w:r>
        <w:rPr>
          <w:u w:val="single"/>
        </w:rPr>
        <w:t xml:space="preserve"> </w:t>
      </w:r>
      <w:r>
        <w:rPr>
          <w:u w:val="single"/>
        </w:rPr>
        <w:t xml:space="preserve">PUBLIC ACCESS.  The official publisher of legal material in an electronic record that is required to be preserved under Section 2051.157 shall ensure that the material is reasonably available for use by the public on a permanent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2051.159.</w:t>
      </w:r>
      <w:r>
        <w:rPr>
          <w:u w:val="single"/>
        </w:rPr>
        <w:t xml:space="preserve"> </w:t>
      </w:r>
      <w:r>
        <w:rPr>
          <w:u w:val="single"/>
        </w:rPr>
        <w:t xml:space="preserve"> </w:t>
      </w:r>
      <w:r>
        <w:rPr>
          <w:u w:val="single"/>
        </w:rPr>
        <w:t xml:space="preserve">STANDARDS.  In implementing this subchapter, the official publisher of legal material in an electronic record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standards and practices of other jurisdictions;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most recent standards regarding authentication, preservation, and security of and public access to legal material in an electronic record and other electronic records, as adopted by national standard-setting bodies;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needs of users of legal material in electronic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views of governmental officials and entities and other interested persons;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practicable, the methods and technologies for the authentication, preservation, and security of and public access to legal material that are compatible with the methods and technologies used by official publishers in other states that have adopted a law that is substantially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2051.160.</w:t>
      </w:r>
      <w:r>
        <w:rPr>
          <w:u w:val="single"/>
        </w:rPr>
        <w:t xml:space="preserve"> </w:t>
      </w:r>
      <w:r>
        <w:rPr>
          <w:u w:val="single"/>
        </w:rPr>
        <w:t xml:space="preserve"> </w:t>
      </w:r>
      <w:r>
        <w:rPr>
          <w:u w:val="single"/>
        </w:rPr>
        <w:t xml:space="preserve">UNIFORMITY OF APPLICATION AND CONSTRUCTION.  In applying and construing this subchapter, consideration must be given to the need to promote uniformity of the law with respect to the subject matter of this subchapter among states that enact a law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2051.161.</w:t>
      </w:r>
      <w:r>
        <w:rPr>
          <w:u w:val="single"/>
        </w:rPr>
        <w:t xml:space="preserve"> </w:t>
      </w:r>
      <w:r>
        <w:rPr>
          <w:u w:val="single"/>
        </w:rPr>
        <w:t xml:space="preserve"> </w:t>
      </w:r>
      <w:r>
        <w:rPr>
          <w:u w:val="single"/>
        </w:rPr>
        <w:t xml:space="preserve">RELATION TO ELECTRONIC SIGNATURES IN GLOBAL AND NATIONAL COMMERCE ACT.  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An official publisher in the executive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The Texas State Library and Archives Commission and an official publisher in the executive branch of state government are jointly responsible for developing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advise as to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executive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The Texas State Library and Archives Commission shall provide the implementation plan developed under Subsection (b) of this section to the legislature not later than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An official publisher in the legislative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An official publisher in the legislative branch of state government, in consultation with the lieutenant governor, the speaker of the house of representatives, the Senate Committee on Administration, and the House Committee on Administration, shall develop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recommend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legislative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An official publisher in the legislative branch of state government shall provide the implementation plan developed under Subsection (b) of this section to the lieutenant governor and speaker of the house of representatives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