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86R26767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Price,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406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Sheffield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organ donor registration information when applying for a hunting or fishing license on the Internet.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12, Parks and Wildlife Code, is amended by adding Section 12.0075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12.0075.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ORGAN DONOR REGISTRY INFORMATION.  The department shall add on the department's Internet website a link to the Glenda Dawson Donate Life-Texas Registry operated under Chapter 692A, Health and Safety Code, for persons to access when applying on the department's Internet website for a hunting or fishing license, including a combination hunting and fishing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Parks and Wildlife Commission may adopt rules as necessary to implement Section 12.0075, Parks and Wildlife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