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86R3474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driver's licensing requirements for minors.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521.165(c),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In</w:t>
      </w:r>
      <w:r>
        <w:t xml:space="preserve"> [</w:t>
      </w:r>
      <w:r>
        <w:rPr>
          <w:strike/>
        </w:rPr>
        <w:t xml:space="preserve">Except as provided by Subsection (d), in</w:t>
      </w:r>
      <w:r>
        <w:t xml:space="preserve">] issuing a driver's license for certain types of vehicles, the director may waive a driving test for an applicant who has successfully completed and passed the training and testing conducted by a person certified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521.165(d),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