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adoption by a state agency of rules that may have an adverse economic effect on  small businesses, micro-businesses, and rural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2006.002,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state agency is made aware that a proposed rule may have an adverse economic effect on small businesses, micro-businesses, or rural communities, as applicable, after notice of the proposed rule has been published,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economic impact statement and a regulatory flexibility analysis as required under Subsections (c) and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statement and the analysis in the Texas Register as an amendment to the proposed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statement and the analysis to the standing committee of each house of the legislature charged with reviewing the proposed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2006.002, Government Code, apply only to a rule proposed by a state agency on or after the effective date of this Act. A rule proposed by a state agency before the effective date of this Act is governed by the law in effect on the date the rule was proposed,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