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86R3252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residence address of a person for purposes of a response to a confirmation notice sent by the voter registrar.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15.052(b),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official confirmation notice response form must:</w:t>
      </w:r>
    </w:p>
    <w:p w:rsidR="003F3435" w:rsidRDefault="0032493E">
      <w:pPr>
        <w:spacing w:line="480" w:lineRule="auto"/>
        <w:ind w:firstLine="1440"/>
        <w:jc w:val="both"/>
      </w:pPr>
      <w:r>
        <w:t xml:space="preserve">(1)</w:t>
      </w:r>
      <w:r xml:space="preserve">
        <w:t> </w:t>
      </w:r>
      <w:r xml:space="preserve">
        <w:t> </w:t>
      </w:r>
      <w:r>
        <w:t xml:space="preserve">provide spaces for the voter to include all of the information that a person must include in an application to register to vote under Section 13.002;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the requirements of Section 15.054, provide a space for the voter to indicate if the voter is exempt from those requirements, and provide a space to indicate the reason for an exemption, if any; and</w:t>
      </w:r>
    </w:p>
    <w:p w:rsidR="003F3435" w:rsidRDefault="0032493E">
      <w:pPr>
        <w:spacing w:line="480" w:lineRule="auto"/>
        <w:ind w:firstLine="1440"/>
        <w:jc w:val="both"/>
      </w:pPr>
      <w:r>
        <w:rPr>
          <w:u w:val="single"/>
        </w:rPr>
        <w:t xml:space="preserve">(3)</w:t>
      </w:r>
      <w:r xml:space="preserve">
        <w:t> </w:t>
      </w:r>
      <w:r xml:space="preserve">
        <w:t> </w:t>
      </w:r>
      <w:r>
        <w:t xml:space="preserve">be postage prepaid and preaddressed for delivery to the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a confirmation notice is mailed, the voter shall submit to the registrar a written, signed response to the notice that confirms the voter's current residence. The response must contain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of the information that a person must include in an application to register to vote under Section 13.002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that the voter's residence address is established in compliance with Section 15.054 or an indication that the voter is exempt from those requirements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15, Election Code, is amended by adding Section 15.054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15.054.</w:t>
      </w:r>
      <w:r>
        <w:rPr>
          <w:u w:val="single"/>
        </w:rPr>
        <w:t xml:space="preserve"> </w:t>
      </w:r>
      <w:r>
        <w:rPr>
          <w:u w:val="single"/>
        </w:rPr>
        <w:t xml:space="preserve"> </w:t>
      </w:r>
      <w:r>
        <w:rPr>
          <w:u w:val="single"/>
        </w:rPr>
        <w:t xml:space="preserve">RESIDENCE FOR PURPOSES OF CONFIRMATION NOTICE RESPONSE. </w:t>
      </w:r>
      <w:r>
        <w:rPr>
          <w:u w:val="single"/>
        </w:rPr>
        <w:t xml:space="preserve"> </w:t>
      </w:r>
      <w:r>
        <w:rPr>
          <w:u w:val="single"/>
        </w:rPr>
        <w:t xml:space="preserve">(a) </w:t>
      </w:r>
      <w:r>
        <w:rPr>
          <w:u w:val="single"/>
        </w:rPr>
        <w:t xml:space="preserve"> </w:t>
      </w:r>
      <w:r>
        <w:rPr>
          <w:u w:val="single"/>
        </w:rPr>
        <w:t xml:space="preserve">For purposes of Section 15.053, a person's residence is established at the first residence address, beginning with Subdivision (1) and continuing through Subdivision (6), in the following list that is applicable to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address stated on a driver's license issued to the person by the Department of Public Safety that has not expired or, if the person has notified the department of a change of address under Section 521.054, Transportation Code,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stated on a personal identification card issued to the person by the Department of Public Safety that has not expired or, if the person has notified the department of a change of address under Section 521.054, Transportation Code,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stated on a license to carry a concealed handgun issued to the person by the Department of Public Safety that has not expired or, if the person has notified the department of a change of address under Section 411.181, Government Code,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address corresponding to a residence at which the person receives mail;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address the person claims as a homestead in this state;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registration address of a vehicle the person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residence in this state has no address may establish residence under this section by executing an affidavit stating that the person's residence in this state has no address, providing a concise description of the location of the person's residence, and delivering the affidavit to the registrar with the person's response to the confirmation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member of the armed forces of the United States or the spouse or a dependent of a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enrolled as a full-time student at an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whose address is confidential under Subchapter C, Chapter 56,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federal judge, state judge, or spouse of a federal or state judge whose driver's license includes the street address of a courthouse under Section 521.121,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peace officer whose driver's license omits the officer's actual residence address under Section 521.1211,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(a)(1) does not apply to a person who holds a commercial driver's license under Subchapter C, Chapter 522, Transportation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