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427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23,</w:t>
      </w:r>
      <w:r xml:space="preserve">
        <w:t> </w:t>
      </w:r>
      <w:r>
        <w:t xml:space="preserve">2019; April</w:t>
      </w:r>
      <w:r xml:space="preserve">
        <w:t> </w:t>
      </w:r>
      <w:r>
        <w:t xml:space="preserve">24,</w:t>
      </w:r>
      <w:r xml:space="preserve">
        <w:t> </w:t>
      </w:r>
      <w:r>
        <w:t xml:space="preserve">2019, read first time and referred to Committee on Criminal Justice; May</w:t>
      </w:r>
      <w:r xml:space="preserve">
        <w:t> </w:t>
      </w:r>
      <w:r>
        <w:t xml:space="preserve">9,</w:t>
      </w:r>
      <w:r xml:space="preserve">
        <w:t> </w:t>
      </w:r>
      <w:r>
        <w:t xml:space="preserve">2019, reported favorably by the following vote:</w:t>
      </w:r>
      <w:r>
        <w:t xml:space="preserve"> </w:t>
      </w:r>
      <w:r>
        <w:t xml:space="preserve"> </w:t>
      </w:r>
      <w:r>
        <w:t xml:space="preserve">Yeas 5, Nays 0; May</w:t>
      </w:r>
      <w:r xml:space="preserve">
        <w:t> </w:t>
      </w:r>
      <w:r>
        <w:t xml:space="preserve">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punishment for the offense of fraudulent destruction, removal, or concealment of a writing that is attached to tangible property; enhancing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32.47, Penal Code, is amended by amending Subsection (c) and adding Subsection (e) to read as follows:</w:t>
      </w:r>
    </w:p>
    <w:p w:rsidR="003F3435" w:rsidRDefault="0032493E">
      <w:pPr>
        <w:spacing w:line="480" w:lineRule="auto"/>
        <w:ind w:firstLine="720"/>
        <w:jc w:val="both"/>
      </w:pPr>
      <w:r>
        <w:t xml:space="preserve">(c)</w:t>
      </w:r>
      <w:r xml:space="preserve">
        <w:t> </w:t>
      </w:r>
      <w:r xml:space="preserve">
        <w:t> </w:t>
      </w:r>
      <w:r>
        <w:t xml:space="preserve">Except as provided </w:t>
      </w:r>
      <w:r>
        <w:rPr>
          <w:u w:val="single"/>
        </w:rPr>
        <w:t xml:space="preserve">by</w:t>
      </w:r>
      <w:r>
        <w:t xml:space="preserve"> </w:t>
      </w:r>
      <w:r>
        <w:t xml:space="preserve">[</w:t>
      </w:r>
      <w:r>
        <w:rPr>
          <w:strike/>
        </w:rPr>
        <w:t xml:space="preserve">in</w:t>
      </w:r>
      <w:r>
        <w:t xml:space="preserve">] Subsection (d), an offense under this section is a Class A misdemeanor</w:t>
      </w:r>
      <w:r>
        <w:rPr>
          <w:u w:val="single"/>
        </w:rPr>
        <w:t xml:space="preserve">,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writing is not attached to tangible property to indicate the price for the sale of that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actor did not engage in the conduct described by Subsection (a) with respect to that writing for the purpose of obtaining the property for a lesser price indicated by a separate writing</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at the time of the offense the writing was attached to tangible property to indicate the price for the sale of that property and the actor engaged in the conduct described by Subsection (a) with respect to that writing for the purpose of obtaining the property for a lesser price indicated by a separate writing, an offense under this section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Class C misdemeanor if the difference between the impaired writing and the lesser price indicated by the other writing is less than $100;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Class B misdemeanor if the difference between the impaired writing and the lesser price indicated by the other writing is $100 or more but less than $750;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Class A misdemeanor if the difference between the impaired writing and the lesser price indicated by the other writing is $750 or more but less than $2,500;</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state jail felony if the difference between the impaired writing and the lesser price indicated by the other writing is $2,500 or more but less than $30,000;</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felony of the third degree if the difference between the impaired writing and the lesser price indicated by the other writing is $30,000 or more but less than $150,000;</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felony of the second degree if the difference between the impaired writing and the lesser price indicated by the other writing is $150,000 or more but less than $300,000;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felony of the first degree if the difference between the impaired writing and the lesser price indicated by the other writing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