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Shaheen, Thierry, Smith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435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rereferred to Committee on Administration;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4, Nays 0;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435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maintenance of information entered into a fee record.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51, Government Code, is amended by adding Section 51.609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51.609.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UNCOLLECTIBLE FEES.  (a)  The clerk may request the court in which a court cost or fee was imposed on a party in a civil case to make a finding that the cost or fee is uncollectible if the cost or fee has been unpaid for at least 15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 finding by a court that a court cost or fee imposed on a party in a civil case is uncollectible, the court may order the clerk to designate the cost or fee as uncollectible in the fee record.  The clerk shall attach a copy of the court's order to the fee record.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court cost or fee imposed by the supreme court, the court of criminal appeals, or a court of appeals.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103.0081(c), Code of Criminal Procedure,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