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general obligation bonds issued by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45, Education Code, is amended by adding Section 45.1105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45.1105.</w:t>
      </w:r>
      <w:r>
        <w:rPr>
          <w:u w:val="single"/>
        </w:rPr>
        <w:t xml:space="preserve"> </w:t>
      </w:r>
      <w:r>
        <w:rPr>
          <w:u w:val="single"/>
        </w:rPr>
        <w:t xml:space="preserve"> </w:t>
      </w:r>
      <w:r>
        <w:rPr>
          <w:u w:val="single"/>
        </w:rPr>
        <w:t xml:space="preserve">USE OF UNSPENT GENERAL OBLIGATION BOND PROCEEDS.  (a) 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board of trustees at a public meeting held only for the purpose of considering the use of the unspent bond proceeds approves in separate votes the use of the proceeds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purpose other than to retire the bonds;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purpose specified at the time the vote is taken.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of law, notice of a public meeting held under this section must include a statement that the board of trustees will consider the use of unspent bond proceeds for a purpose other than the specific purposes for which the bonds were authorized.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public meeting held under this section must provide the public an opportunity to address the board of trustees on the question of using the unspent bond proceeds for a purpose other than the specific purposes for which the bonds were authorized.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4.003(f), Election Code, is amended to read as follows:</w:t>
      </w:r>
    </w:p>
    <w:p w:rsidR="003F3435" w:rsidRDefault="0032493E">
      <w:pPr>
        <w:spacing w:line="480" w:lineRule="auto"/>
        <w:ind w:firstLine="720"/>
        <w:jc w:val="both"/>
      </w:pPr>
      <w:r>
        <w:t xml:space="preserve">(f)</w:t>
      </w:r>
      <w:r xml:space="preserve">
        <w:t> </w:t>
      </w:r>
      <w:r xml:space="preserve">
        <w:t> </w:t>
      </w:r>
      <w:r>
        <w:t xml:space="preserve">A debt obligation election order required under Section 3.009 shall be posted:</w:t>
      </w:r>
    </w:p>
    <w:p w:rsidR="003F3435" w:rsidRDefault="0032493E">
      <w:pPr>
        <w:spacing w:line="480" w:lineRule="auto"/>
        <w:ind w:firstLine="1440"/>
        <w:jc w:val="both"/>
      </w:pPr>
      <w:r>
        <w:t xml:space="preserve">(1)</w:t>
      </w:r>
      <w:r xml:space="preserve">
        <w:t> </w:t>
      </w:r>
      <w:r xml:space="preserve">
        <w:t> </w:t>
      </w:r>
      <w:r>
        <w:t xml:space="preserve">on election day and during early voting by personal appearance, in a prominent location at each polling place;</w:t>
      </w:r>
    </w:p>
    <w:p w:rsidR="003F3435" w:rsidRDefault="0032493E">
      <w:pPr>
        <w:spacing w:line="480" w:lineRule="auto"/>
        <w:ind w:firstLine="1440"/>
        <w:jc w:val="both"/>
      </w:pPr>
      <w:r>
        <w:t xml:space="preserve">(2)</w:t>
      </w:r>
      <w:r xml:space="preserve">
        <w:t> </w:t>
      </w:r>
      <w:r xml:space="preserve">
        <w:t> </w:t>
      </w:r>
      <w:r>
        <w:t xml:space="preserve">not later than the 21st day before the election, in three public places in the boundaries of the political subdivision holding the election; and</w:t>
      </w:r>
    </w:p>
    <w:p w:rsidR="003F3435" w:rsidRDefault="0032493E">
      <w:pPr>
        <w:spacing w:line="480" w:lineRule="auto"/>
        <w:ind w:firstLine="1440"/>
        <w:jc w:val="both"/>
      </w:pPr>
      <w:r>
        <w:t xml:space="preserve">(3)</w:t>
      </w:r>
      <w:r xml:space="preserve">
        <w:t> </w:t>
      </w:r>
      <w:r xml:space="preserve">
        <w:t> </w:t>
      </w:r>
      <w:r>
        <w:t xml:space="preserve">during the 21 days before the election, on the political subdivision's Internet website, prominently and together with the notice of the election</w:t>
      </w:r>
      <w:r>
        <w:rPr>
          <w:u w:val="single"/>
        </w:rPr>
        <w:t xml:space="preserve">,</w:t>
      </w:r>
      <w:r>
        <w:t xml:space="preserve"> [</w:t>
      </w:r>
      <w:r>
        <w:rPr>
          <w:strike/>
        </w:rPr>
        <w:t xml:space="preserve">and</w:t>
      </w:r>
      <w:r>
        <w:t xml:space="preserve">] the contents of the proposition, </w:t>
      </w:r>
      <w:r>
        <w:rPr>
          <w:u w:val="single"/>
        </w:rPr>
        <w:t xml:space="preserve">and any sample ballot prepared for the election,</w:t>
      </w:r>
      <w:r>
        <w:t xml:space="preserve"> if the political subdivision maintains an Internet website.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C, Title 9, Government Code, is amended by adding Chapter 1253 to read as follows:</w:t>
      </w:r>
    </w:p>
    <w:p w:rsidR="003F3435" w:rsidRDefault="0032493E">
      <w:pPr>
        <w:spacing w:line="480" w:lineRule="auto"/>
        <w:jc w:val="center"/>
      </w:pPr>
      <w:r>
        <w:rPr>
          <w:u w:val="single"/>
        </w:rPr>
        <w:t xml:space="preserve">CHAPTER 1253. GENERAL OBLIGATION BONDS ISSUED BY POLITICAL SUBDIVISIONS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1253.001.</w:t>
      </w:r>
      <w:r>
        <w:rPr>
          <w:u w:val="single"/>
        </w:rPr>
        <w:t xml:space="preserve"> </w:t>
      </w:r>
      <w:r>
        <w:rPr>
          <w:u w:val="single"/>
        </w:rPr>
        <w:t xml:space="preserve"> </w:t>
      </w:r>
      <w:r>
        <w:rPr>
          <w:u w:val="single"/>
        </w:rPr>
        <w:t xml:space="preserve">DEFINITION.  In this chapter, "political subdivision" means a county, municipality, school district, junior college district, other special district, or other subdivision of state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1253.002.</w:t>
      </w:r>
      <w:r>
        <w:rPr>
          <w:u w:val="single"/>
        </w:rPr>
        <w:t xml:space="preserve"> </w:t>
      </w:r>
      <w:r>
        <w:rPr>
          <w:u w:val="single"/>
        </w:rPr>
        <w:t xml:space="preserve"> </w:t>
      </w:r>
      <w:r>
        <w:rPr>
          <w:u w:val="single"/>
        </w:rPr>
        <w:t xml:space="preserve">LIMITATION ON AUTHORITY TO ISSUE GENERAL OBLIGATION BONDS.  (a) </w:t>
      </w:r>
      <w:r>
        <w:rPr>
          <w:u w:val="single"/>
        </w:rPr>
        <w:t xml:space="preserve"> </w:t>
      </w:r>
      <w:r>
        <w:rPr>
          <w:u w:val="single"/>
        </w:rPr>
        <w:t xml:space="preserve">In this section, "personal property" has the meaning assigned by Section 1.04,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a political subdivision may not issue general obligation bonds to purchase, improve, or construct one or more improvements to real property, to purchase one or more items of personal property, or to do both, if the weighted average maturity of the issue of bonds exceeds 120 percent of the reasonably expected weighted average economic life of the improvements and personal property financed with the issue of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1253.003.</w:t>
      </w:r>
      <w:r>
        <w:rPr>
          <w:u w:val="single"/>
        </w:rPr>
        <w:t xml:space="preserve"> </w:t>
      </w:r>
      <w:r>
        <w:rPr>
          <w:u w:val="single"/>
        </w:rPr>
        <w:t xml:space="preserve"> </w:t>
      </w:r>
      <w:r>
        <w:rPr>
          <w:u w:val="single"/>
        </w:rPr>
        <w:t xml:space="preserve">USE OF UNSPENT GENERAL OBLIGATION BOND PROCEEDS.  (a) </w:t>
      </w:r>
      <w:r>
        <w:rPr>
          <w:u w:val="single"/>
        </w:rPr>
        <w:t xml:space="preserve"> </w:t>
      </w:r>
      <w:r>
        <w:rPr>
          <w:u w:val="single"/>
        </w:rPr>
        <w:t xml:space="preserve">A political subdivision other than a school district may use the unspent proceeds of issued general obligation bonds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specific purposes for which the bonds were authorized;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retire the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purpose other than the specific purposes for which the bonds were authorized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specific purposes are accomplished or abandoned;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majority of the votes cast in an election held in the political subdivision approve the use of the proceeds for the proposed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order and the notice of election for an election described by Subsection (a)(3)(B) must state the proposed purpose for which the bond proceeds are to be used.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subdivision must hold an election described by Subsection (a)(3)(B) in the same manner as an election to issue bonds in the political subdivision.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1332, Government Code,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1253.002, Government Code, as added by this Act, applies only to a general obligation bond authorized to be issued at an election held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440 was passed by the House on April</w:t>
      </w:r>
      <w:r xml:space="preserve">
        <w:t> </w:t>
      </w:r>
      <w:r>
        <w:t xml:space="preserve">2, 2019, by the following vote:</w:t>
      </w:r>
      <w:r xml:space="preserve">
        <w:t> </w:t>
      </w:r>
      <w:r xml:space="preserve">
        <w:t> </w:t>
      </w:r>
      <w:r>
        <w:t xml:space="preserve">Yeas 146, Nays 1, 1 present, not voting; and that the House concurred in Senate amendments to H.B. No. 440 on May 22,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440 was passed by the Senate, with amendments,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