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86R17989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440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440:</w:t>
      </w: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C.S.H.B.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general obligation bonds issued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45.1105.</w:t>
      </w:r>
      <w:r>
        <w:rPr>
          <w:u w:val="single"/>
        </w:rPr>
        <w:t xml:space="preserve"> </w:t>
      </w:r>
      <w:r>
        <w:rPr>
          <w:u w:val="single"/>
        </w:rPr>
        <w:t xml:space="preserve"> </w:t>
      </w:r>
      <w:r>
        <w:rPr>
          <w:u w:val="single"/>
        </w:rPr>
        <w:t xml:space="preserve">USE OF UNSPENT GENERAL OBLIGATION BOND PROCEEDS.  (a)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at a public meeting held only for the purpose of considering the use of the unspent bond proceeds approves in separate votes the use of the proceeds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other than to retire the bonds;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purpose specified at the time the vote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of law, notice of a public meeting held under this section must include a statement that the board of trustees will consider the use of unspent bond proceeds for a purpose other than the specific purposes for which the bonds were authorized.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meeting held under this section must provide the public an opportunity to address the board of trustees on the question of using the unspent bond proceeds for a purpose other than the specific purposes for which the bonds were 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4.003(f), Election Code, is amended to read as follows:</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3.009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w:t>
      </w:r>
      <w:r>
        <w:rPr>
          <w:u w:val="single"/>
        </w:rPr>
        <w:t xml:space="preserve">,</w:t>
      </w:r>
      <w:r>
        <w:t xml:space="preserve"> [</w:t>
      </w:r>
      <w:r>
        <w:rPr>
          <w:strike/>
        </w:rPr>
        <w:t xml:space="preserve">and</w:t>
      </w:r>
      <w:r>
        <w:t xml:space="preserve">] the contents of the proposition, </w:t>
      </w:r>
      <w:r>
        <w:rPr>
          <w:u w:val="single"/>
        </w:rPr>
        <w:t xml:space="preserve">and any sample ballot prepared for the election,</w:t>
      </w:r>
      <w:r>
        <w:t xml:space="preserve"> if the political subdivision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GENERAL OBLIGATION BONDS ISSUED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1253.001.</w:t>
      </w:r>
      <w:r>
        <w:rPr>
          <w:u w:val="single"/>
        </w:rPr>
        <w:t xml:space="preserve"> </w:t>
      </w:r>
      <w:r>
        <w:rPr>
          <w:u w:val="single"/>
        </w:rPr>
        <w:t xml:space="preserve"> </w:t>
      </w:r>
      <w:r>
        <w:rPr>
          <w:u w:val="single"/>
        </w:rPr>
        <w:t xml:space="preserve">DEFINITION.  In this chapter,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1253.002.</w:t>
      </w:r>
      <w:r>
        <w:rPr>
          <w:u w:val="single"/>
        </w:rPr>
        <w:t xml:space="preserve"> </w:t>
      </w:r>
      <w:r>
        <w:rPr>
          <w:u w:val="single"/>
        </w:rPr>
        <w:t xml:space="preserve"> </w:t>
      </w:r>
      <w:r>
        <w:rPr>
          <w:u w:val="single"/>
        </w:rPr>
        <w:t xml:space="preserve">LIMITATION ON AUTHORITY TO ISSUE GENERAL OBLIGATION BONDS.  (a) </w:t>
      </w:r>
      <w:r>
        <w:rPr>
          <w:u w:val="single"/>
        </w:rPr>
        <w:t xml:space="preserve"> </w:t>
      </w:r>
      <w:r>
        <w:rPr>
          <w:u w:val="single"/>
        </w:rPr>
        <w:t xml:space="preserve">In this section, "personal property"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 political subdivision may not issue general obligation bonds to purchase, improve, or construct an improvement to real property or to purchase personal property if the weighted average maturity of the issue of bonds to finance the improvement or personal property exceeds 120 percent of the reasonably expected weighted average economic life of the improvement or personal property financed with the issue of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1253.003.</w:t>
      </w:r>
      <w:r>
        <w:rPr>
          <w:u w:val="single"/>
        </w:rPr>
        <w:t xml:space="preserve"> </w:t>
      </w:r>
      <w:r>
        <w:rPr>
          <w:u w:val="single"/>
        </w:rPr>
        <w:t xml:space="preserve"> </w:t>
      </w:r>
      <w:r>
        <w:rPr>
          <w:u w:val="single"/>
        </w:rPr>
        <w:t xml:space="preserve">USE OF UNSPENT GENERAL OBLIGATION BOND PROCEEDS.  (a) </w:t>
      </w:r>
      <w:r>
        <w:rPr>
          <w:u w:val="single"/>
        </w:rPr>
        <w:t xml:space="preserve"> </w:t>
      </w:r>
      <w:r>
        <w:rPr>
          <w:u w:val="single"/>
        </w:rPr>
        <w:t xml:space="preserve">A political subdivision other than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must hold an election described by Subsection (a)(3)(B) in the same manner as an election to issue bonds in the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1332,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1253.002, Government Code, as added by this Act, applies only to a general obligation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