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statute of limitations for the offense of abandoning or endangering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w:t>
      </w:r>
      <w:r>
        <w:t xml:space="preserve"> </w:t>
      </w:r>
      <w:r>
        <w:t xml:space="preserve">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 </w:t>
      </w:r>
      <w:r>
        <w:rPr>
          <w:u w:val="single"/>
        </w:rPr>
        <w:t xml:space="preserve">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abandoning or endangering a child;</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abandoning or endangering a child; or</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as amended by this Act, does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