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amount of school property tax revenue that is subject to recapture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Education Code, is amended by adding Section 41.0932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41.0932.</w:t>
      </w:r>
      <w:r>
        <w:rPr>
          <w:u w:val="single"/>
        </w:rPr>
        <w:t xml:space="preserve"> </w:t>
      </w:r>
      <w:r>
        <w:rPr>
          <w:u w:val="single"/>
        </w:rPr>
        <w:t xml:space="preserve"> </w:t>
      </w:r>
      <w:r>
        <w:rPr>
          <w:u w:val="single"/>
        </w:rPr>
        <w:t xml:space="preserve">LIMITATION ON TOTAL COST.  (a)  Notwithstanding any other provision of this chapter, a school district that executes an agreement to purchase all attendance credits necessary to reduce the district's wealth per student to the equalized wealth level: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retain maintenance and operations tax revenue sufficient to pay the district's average maintenance and operations costs per student in average daily attendance, as determined under Subsection (b) and adjusted for inflation;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required to pay a total amount for attendance credits that would reduce the district's retained maintenance and operations tax revenue below the amount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commissioner shall determine a school district's average maintenance and operations costs per student in average daily attendance based on the district's maintenance and operations expenditures per student in average daily attendance for the preceding three school years.  The commissioner shall adjust a district's average costs to reflect inflation in a manner determined appropriate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