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86R3232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exceptions from the requirement for a person under the direction or control of a local entity or campus police department to assist or cooperate with federal immigration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752.053(c),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(b)(3), a local entity or campus police department may prohibit persons who are employed by or otherwise under the direction or control of the entity or department from assisting or cooperating with a federal immigration officer if the assistance or cooperation occurs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 a place of worship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property of a school district, open-enrollment charter school, or private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an institution of higher education;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a hospital, emergency clinic, outpatient clinic, birthing center, ambulatory surgical center, or other facility providing health care services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