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criminal consequences of engaging in certain conduct with respect to certain instruments designed, made, or adapted for use in striking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 [</w:t>
      </w:r>
      <w:r>
        <w:rPr>
          <w:strike/>
        </w:rPr>
        <w:t xml:space="preserve">or club</w:t>
      </w:r>
      <w:r>
        <w:t xml:space="preserve">]; and</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w:t>
      </w:r>
      <w:r>
        <w:rPr>
          <w:strike/>
        </w:rPr>
        <w:t xml:space="preserve">knuckles;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armor-piercing ammunition;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chemical dispensing device;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zip gun;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t xml:space="preserve">(7)</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w:t>
      </w:r>
      <w:r>
        <w:rPr>
          <w:u w:val="single"/>
        </w:rPr>
        <w:t xml:space="preserve">this section</w:t>
      </w:r>
      <w:r>
        <w:t xml:space="preserve"> [</w:t>
      </w:r>
      <w:r>
        <w:rPr>
          <w:strike/>
        </w:rPr>
        <w:t xml:space="preserve">Subsection (a)(1), (3), (4), (5), or (7)</w:t>
      </w:r>
      <w:r>
        <w:t xml:space="preserve">] is a felony of the third degree.  An offense under Subsection </w:t>
      </w:r>
      <w:r>
        <w:rPr>
          <w:u w:val="single"/>
        </w:rPr>
        <w:t xml:space="preserve">(a)(5)</w:t>
      </w:r>
      <w:r>
        <w:t xml:space="preserve"> [</w:t>
      </w:r>
      <w:r>
        <w:rPr>
          <w:strike/>
        </w:rPr>
        <w:t xml:space="preserve">(a)(6)</w:t>
      </w:r>
      <w:r>
        <w:t xml:space="preserve">] is a state jail felony.  [</w:t>
      </w:r>
      <w:r>
        <w:rPr>
          <w:strike/>
        </w:rPr>
        <w:t xml:space="preserve">An offense under Subsection (a)(2) is a Class A misdemeanor.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46.15(d) and (g), Penal Code, are amended to read as follows:</w:t>
      </w:r>
    </w:p>
    <w:p w:rsidR="003F3435" w:rsidRDefault="0032493E">
      <w:pPr>
        <w:spacing w:line="480" w:lineRule="auto"/>
        <w:ind w:firstLine="720"/>
        <w:jc w:val="both"/>
      </w:pPr>
      <w:r>
        <w:t xml:space="preserve">(d)</w:t>
      </w:r>
      <w:r xml:space="preserve">
        <w:t> </w:t>
      </w:r>
      <w:r xml:space="preserve">
        <w:t> </w:t>
      </w:r>
      <w:r>
        <w:t xml:space="preserve">The provisions of Section 46.02 prohibiting the carrying of a firearm [</w:t>
      </w:r>
      <w:r>
        <w:rPr>
          <w:strike/>
        </w:rPr>
        <w:t xml:space="preserve">or carrying of a club</w:t>
      </w:r>
      <w:r>
        <w:t xml:space="preserve">] do not apply to a public security officer employed by the adjutant general under Section 437.053, Government Code, in performance of official duties or while traveling to or from a place of duty.</w:t>
      </w:r>
    </w:p>
    <w:p w:rsidR="003F3435" w:rsidRDefault="0032493E">
      <w:pPr>
        <w:spacing w:line="480" w:lineRule="auto"/>
        <w:ind w:firstLine="720"/>
        <w:jc w:val="both"/>
      </w:pPr>
      <w:r>
        <w:t xml:space="preserve">(g)</w:t>
      </w:r>
      <w:r xml:space="preserve">
        <w:t> </w:t>
      </w:r>
      <w:r xml:space="preserve">
        <w:t> </w:t>
      </w:r>
      <w:r>
        <w:t xml:space="preserve">The provisions of </w:t>
      </w:r>
      <w:r>
        <w:rPr>
          <w:u w:val="single"/>
        </w:rPr>
        <w:t xml:space="preserve">Section</w:t>
      </w:r>
      <w:r>
        <w:t xml:space="preserve"> [</w:t>
      </w:r>
      <w:r>
        <w:rPr>
          <w:strike/>
        </w:rPr>
        <w:t xml:space="preserve">Sections 46.02 and</w:t>
      </w:r>
      <w:r>
        <w:t xml:space="preserve">] 46.03 prohibiting the possession or carrying of a club do not apply to an animal control officer who holds a certificate issued under Section 829.006, Health and Safety Code, and who possesses or carries an instrument used specifically for deterring the bite of an animal while the officer is in the performance of official duties under the Health and Safety Code or is traveling to or from a place of duty.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46.01(8) and 46.15(c), Penal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446 was passed by the House on April 9,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446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