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449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requirement that a public or private institution of higher education include a notation on a student's transcript under certain circumstances.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51, Education Code, is amended by adding Section 51.9364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51.9364.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NOTATIONS REQUIRED ON STUDENT TRANSCRIPTS.  (a)  In this section, "postsecondary educational institution"</w:t>
      </w:r>
      <w:r>
        <w:rPr>
          <w:u w:val="single"/>
        </w:rPr>
        <w:t xml:space="preserve"> </w:t>
      </w:r>
      <w:r>
        <w:rPr>
          <w:u w:val="single"/>
        </w:rPr>
        <w:t xml:space="preserve">means an institution of higher education or a private or independent institution of higher education, as those terms are defined by Section 61.003.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student is ineligible to reenroll in a postsecondary educational institution for a reason other than an academic or financial reason, the institution shall include on the student's transcript a notation stating that the student is ineligible to reenroll in the institution for a reason other than an academic or financial reason.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student withdraws from a postsecondary educational institution pending disciplinary charges that may result in the student becoming ineligible to reenroll in the institution for a reason other than an academic or financial reason, the institution may not end the disciplinary process until the institution makes a final determination of responsibility, including, if applicable, a determination of whether the student will be ineligible to reenroll in the institution for a reason other than an academic or financial reason. </w:t>
      </w:r>
      <w:r>
        <w:rPr>
          <w:u w:val="single"/>
        </w:rPr>
        <w:t xml:space="preserve"> </w:t>
      </w:r>
      <w:r>
        <w:rPr>
          <w:u w:val="single"/>
        </w:rPr>
        <w:t xml:space="preserve">If, as a result of the disciplinary process, the student is ineligible to reenroll in the institution for a reason other than an academic or financial reason, the institution shall include on the student's transcript the notation required under Subsection (b).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request by the student, a postsecondary educational institution may remove from a student's transcript a notation required under this section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student is eligible to reenroll in the institution;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institution determines that good cause exists to remove the notation.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Texas Higher Education Coordinating Board shall adopt rules as necessary to implement this section. </w:t>
      </w:r>
      <w:r>
        <w:rPr>
          <w:u w:val="single"/>
        </w:rPr>
        <w:t xml:space="preserve"> </w:t>
      </w:r>
      <w:r>
        <w:rPr>
          <w:u w:val="single"/>
        </w:rPr>
        <w:t xml:space="preserve">In adopting those rules, the coordinating board shall use the negotiated rulemaking procedures under Chapter 2008,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Texas Higher Education Coordinating Board shall adopt the rules required by Section 51.9364, Education Code, as added by this Act, as soon as practicable after this Act takes effect.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beginning with the 2019 fall semester.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449 was passed by the House on April 17, 2019, by the following vote:</w:t>
      </w:r>
      <w:r xml:space="preserve">
        <w:t> </w:t>
      </w:r>
      <w:r xml:space="preserve">
        <w:t> </w:t>
      </w:r>
      <w:r>
        <w:t xml:space="preserve">Yeas 107, Nays 32,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449 was passed by the Senate on May 21, 2019, by the following vote:</w:t>
      </w:r>
      <w:r xml:space="preserve">
        <w:t> </w:t>
      </w:r>
      <w:r xml:space="preserve">
        <w:t> </w:t>
      </w:r>
      <w:r>
        <w:t xml:space="preserve">Yeas 26, Nays 5.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449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