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personal financial statements filed by public officials and candidates.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the statements available to the public on the commission's website not later than the 15th day after the date the statement is required to be filed or is actually filed, whichever is later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available on its website a financial statement that may be destroyed under Subsection (c). </w:t>
      </w:r>
      <w:r>
        <w:rPr>
          <w:u w:val="single"/>
        </w:rPr>
        <w:t xml:space="preserve"> </w:t>
      </w:r>
      <w:r>
        <w:rPr>
          <w:u w:val="single"/>
        </w:rPr>
        <w:t xml:space="preserve">The commission may not make available on its website a financial statement that the commission is required to destroy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572.032(b),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