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86R4697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incentive funding for certain medical schools based on public health impact.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61.0597.</w:t>
      </w:r>
      <w:r>
        <w:rPr>
          <w:u w:val="single"/>
        </w:rPr>
        <w:t xml:space="preserve"> </w:t>
      </w:r>
      <w:r>
        <w:rPr>
          <w:u w:val="single"/>
        </w:rPr>
        <w:t xml:space="preserve"> </w:t>
      </w:r>
      <w:r>
        <w:rPr>
          <w:u w:val="single"/>
        </w:rPr>
        <w:t xml:space="preserve">MEDICAL SCHOOL PERFORMANCE INCENTIVE FUNDING.  (a)  In this section, "medical school" means a medical school that is part of The University of Texas System, the Texas Tech University System, The Texas A&amp;M University System, or the University of North Texas System, or the Baylor College of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consultation with the Health and Human Services Commission, the board with the assistance of the advisory committee appointed under Subsection (e) biennially shall develop a plan for distributing performance incentive funds appropriated for that purpose for the next state fiscal biennium to medical schools based on each medical school's success in improving the delivery of health services and improving health conditions of persons in the service region of the medical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plan developed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the geographic service region for each medical school so that all the territory of this state is included in a service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recommendations for the performance measures and related formulas on which distributions to medical schools of any performance incentive funds appropriated by the legislature for the next state fiscal biennium would be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defining the service region for a medical school under Subsection (c)(1),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attempt to include areas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in geographic proximity to the medical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 from being served by the medical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establish a single region for two or more medical schools if the board determines that the medical schools serve primarily the same areas.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establish an advisory committee to assist the board in administering this section.  Membership on the committee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greatest extent practicable, reflect a balanced representation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geographic regions of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municipalities and counties in this state of high, medium, and low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members appointed by the governor, lieutenant governor, and speaker of the house of representatives;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members who are medical professionals, including nurses, nurse practitioners, mental health providers, pediatricians, primary care physicians, and public school nurses;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members who represent the interests of senior citizens, veterans, children, the adult criminal justice and juvenile justice communities, the health insurance industry, the health care free market, public and private hospitals, and charitable foundations with a presence in health care.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chair of each standing legislative committee with primary jurisdiction over criminal justice, juvenile justice, public health, appropriations, health and human services, county affairs, or higher education, as determined by the presiding officer of each house, serves as an ex officio member of the advisory committee appointed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members of the advisory committee appointed under Subsection (e) serve without compensation but shall be reimbursed by the board for actual expenses incurred in the performance of duties as members of the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November 1 of each even-numbered year, the board shall submit the plan developed for the next state fiscal biennium under this section to the legislature.  The legislature may appropriate performance incentive funds for distribution to medical schools for the next fiscal biennium based on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