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86R4275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a scheduled disconnection of water utility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92.302(a) and (b), Property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"Customer" means a person who is responsible for bills received for electric utility service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gas utility service</w:t>
      </w:r>
      <w:r>
        <w:rPr>
          <w:u w:val="single"/>
        </w:rPr>
        <w:t xml:space="preserve">, or water utility service</w:t>
      </w:r>
      <w:r>
        <w:t xml:space="preserve"> provided to nonsubmetered master metered multifamily property.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"Nonsubmetered master metered multifamily property" means an apartment, a leased or owner-occupied condominium, or one or more buildings containing at least 10 dwellings that receive electric utility service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gas utility service</w:t>
      </w:r>
      <w:r>
        <w:rPr>
          <w:u w:val="single"/>
        </w:rPr>
        <w:t xml:space="preserve">, or water utility service</w:t>
      </w:r>
      <w:r>
        <w:t xml:space="preserve"> that is master metered but not submetered.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customer shall provide written notice of a service disconnection to each tenant or owner at a nonsubmetered master metered multifamily property not later than the fifth day after the date the customer receives a notice of service disconnection from an electric service provider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 gas utility</w:t>
      </w:r>
      <w:r>
        <w:rPr>
          <w:u w:val="single"/>
        </w:rPr>
        <w:t xml:space="preserve">, or a water utility</w:t>
      </w:r>
      <w:r>
        <w:t xml:space="preserve">. </w:t>
      </w:r>
      <w:r>
        <w:t xml:space="preserve"> </w:t>
      </w:r>
      <w:r>
        <w:t xml:space="preserve">The customer must provide the notice by mail to the tenant's or owner's preferred mailing address or hand deliver the notice to the tenant or owner. </w:t>
      </w:r>
      <w:r>
        <w:t xml:space="preserve"> </w:t>
      </w:r>
      <w:r>
        <w:t xml:space="preserve">The written notice must include the customer's contact information and the tenant's remedies under Section 92.301. </w:t>
      </w:r>
      <w:r>
        <w:t xml:space="preserve"> </w:t>
      </w:r>
      <w:r>
        <w:t xml:space="preserve">The notice must include the following text in both English and Spanish:</w:t>
      </w:r>
    </w:p>
    <w:p w:rsidR="003F3435" w:rsidRDefault="0032493E">
      <w:pPr>
        <w:spacing w:line="480" w:lineRule="auto"/>
        <w:ind w:firstLine="720"/>
        <w:jc w:val="both"/>
      </w:pPr>
      <w:r>
        <w:t xml:space="preserve">"Notice to residents of (name and address of nonsubmetered master metered multifamily property): Electric (or gas </w:t>
      </w:r>
      <w:r>
        <w:rPr>
          <w:u w:val="single"/>
        </w:rPr>
        <w:t xml:space="preserve">or water</w:t>
      </w:r>
      <w:r>
        <w:t xml:space="preserve">) service to this property is scheduled for disconnection on (date) because (reason for disconnection)."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13, Water Code, is amended by adding Subchapter O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O. PROTECTION AGAINST UTILITY SERVICE DISCONNECTION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13.521.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DISCONNECTION TO MUNICIPALITIES FOR NONSUBMETERED MASTER METERED MULTIFAMILY PROPERTIES.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"nonsubmetered master metered multifamily property" means an apartment, a leased or owner-occupied condominium, or one or more buildings containing at least 10 dwellings that receive water utility service that is master metered but not submetered.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utility shall send a written notice of service disconnection to a municipality before the utility disconnects service to a nonsubmetered master metered multifamily property for nonpayment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property is located in the municipality;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establishes an authorized representative to receive the notice as described by Section 13.523(c).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water utility shall send the notice required by this section not later than the 10th day before the date water service is scheduled for disconnection.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13.522.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SEPARATE NOTICE OF DISCONNECTION REQUIRED.  A water utility  shall mail notice of disconnection of water utility service separately from any other statement the utility mails to the customer.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13.523.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SAFEGUARDS.  (a) </w:t>
      </w:r>
      <w:r>
        <w:rPr>
          <w:u w:val="single"/>
        </w:rPr>
        <w:t xml:space="preserve"> </w:t>
      </w:r>
      <w:r>
        <w:rPr>
          <w:u w:val="single"/>
        </w:rPr>
        <w:t xml:space="preserve">The customer safeguards provided by this subchapter are in addition to safeguards provided by other law or commission rules.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does not prohibit a municipality or the commission from adopting customer safeguards that exceed the safeguards provided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develop a mechanism by which a municipality may provide the commission with the contact information of the municipality's authorized representative to whom the notice required by Section 13.521 must be sent.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make the contact information available to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in regard to disconnection of water utility service that is scheduled on or after September 15,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