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86R821 JG-D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Springer</w:t>
      </w:r>
      <w:r xml:space="preserve">
        <w:tab wTab="150" tlc="none" cTlc="0"/>
      </w:r>
      <w:r>
        <w:t xml:space="preserve">H.B.</w:t>
      </w:r>
      <w:r xml:space="preserve">
        <w:t> </w:t>
      </w:r>
      <w:r>
        <w:t xml:space="preserve">No.</w:t>
      </w:r>
      <w:r xml:space="preserve">
        <w:t> </w:t>
      </w:r>
      <w:r>
        <w:t xml:space="preserve">463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reciprocity agreements between air ambulance companies operating a subscription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773.011, Health and Safety Code, is amended by adding Subsection (d-1) and amending Subsection (e) to read as follows:</w:t>
      </w:r>
    </w:p>
    <w:p w:rsidR="003F3435" w:rsidRDefault="0032493E">
      <w:pPr>
        <w:spacing w:line="480" w:lineRule="auto"/>
        <w:ind w:firstLine="720"/>
        <w:jc w:val="both"/>
      </w:pPr>
      <w:r>
        <w:rPr>
          <w:u w:val="single"/>
        </w:rPr>
        <w:t xml:space="preserve">(d-1)  An air ambulance company that operates a subscription program under this section shall, in accordance with executive commissioner rules, enter into a reciprocity agreement with each other air ambulance company in this state that operates a subscription program to ensure maximum geographic coverage for patients covered under a subscription program.</w:t>
      </w:r>
    </w:p>
    <w:p w:rsidR="003F3435" w:rsidRDefault="0032493E">
      <w:pPr>
        <w:spacing w:line="480" w:lineRule="auto"/>
        <w:ind w:firstLine="720"/>
        <w:jc w:val="both"/>
      </w:pPr>
      <w:r>
        <w:t xml:space="preserve">(e)</w:t>
      </w:r>
      <w:r xml:space="preserve">
        <w:t> </w:t>
      </w:r>
      <w:r xml:space="preserve">
        <w:t> </w:t>
      </w:r>
      <w:r>
        <w:t xml:space="preserve">The Insurance Code does not apply to a subscription program established </w:t>
      </w:r>
      <w:r>
        <w:rPr>
          <w:u w:val="single"/>
        </w:rPr>
        <w:t xml:space="preserve">or a reciprocity agreement entered into</w:t>
      </w:r>
      <w:r>
        <w:t xml:space="preserve">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effective date of this Act, the executive commissioner of the Health and Human Services Commission shall adopt rules necessary to implement Section 773.011, Health and Safety Code, as amended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