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reciprocity agreements between certain air ambulance companies operating a subscription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773.011, Health and Safety Code, is amended by amending Subsections (b) and (e) and adding Subsection (d-1)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establishing minimum standards for the creation and operation of a subscription program.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protection of public health and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compliance with federal laws and rules related to air ambulance subscription program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minimum standards and objectives for the delivery of air ambulance emergency medical services provided in accordance with a reciprocity agreement entered into under Subsection (d-1).</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To ensure maximum geographic coverage for patients covered under a subscription program, an air ambulance company that operates a subscription program shall, in accordance with executive commissioner rules, enter into a reciprocity agreement with each other air ambulance company that operates a subscription program in the same service delivery area.</w:t>
      </w:r>
    </w:p>
    <w:p w:rsidR="003F3435" w:rsidRDefault="0032493E">
      <w:pPr>
        <w:spacing w:line="480" w:lineRule="auto"/>
        <w:ind w:firstLine="720"/>
        <w:jc w:val="both"/>
      </w:pPr>
      <w:r>
        <w:t xml:space="preserve">(e)</w:t>
      </w:r>
      <w:r xml:space="preserve">
        <w:t> </w:t>
      </w:r>
      <w:r xml:space="preserve">
        <w:t> </w:t>
      </w:r>
      <w:r>
        <w:t xml:space="preserve">The Insurance Code does not apply to a subscription program established </w:t>
      </w:r>
      <w:r>
        <w:rPr>
          <w:u w:val="single"/>
        </w:rPr>
        <w:t xml:space="preserve">or a reciprocity agreement entered into</w:t>
      </w:r>
      <w:r>
        <w:t xml:space="preserv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773.011, Health and Safety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 was passed by the House on April 9, 2019, by the following vote:</w:t>
      </w:r>
      <w:r xml:space="preserve">
        <w:t> </w:t>
      </w:r>
      <w:r xml:space="preserve">
        <w:t> </w:t>
      </w:r>
      <w:r>
        <w:t xml:space="preserve">Yeas 140, Nays 7, 2 present, not voting; and that the House concurred in Senate amendments to H.B. No. 463 on May 24, 2019, by the following vote:</w:t>
      </w:r>
      <w:r xml:space="preserve">
        <w:t> </w:t>
      </w:r>
      <w:r xml:space="preserve">
        <w:t> </w:t>
      </w:r>
      <w:r>
        <w:t xml:space="preserve">Yeas 121, Nays 20,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463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