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86R11194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467:</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assault and domestic violence awareness continuing education for cosmetology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1602.354(c),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require continuing education programs under this chapter to include information on:</w:t>
      </w:r>
    </w:p>
    <w:p w:rsidR="003F3435" w:rsidRDefault="0032493E">
      <w:pPr>
        <w:spacing w:line="480" w:lineRule="auto"/>
        <w:ind w:firstLine="1440"/>
        <w:jc w:val="both"/>
      </w:pPr>
      <w:r>
        <w:t xml:space="preserve">(1)</w:t>
      </w:r>
      <w:r xml:space="preserve">
        <w:t> </w:t>
      </w:r>
      <w:r xml:space="preserve">
        <w:t> </w:t>
      </w:r>
      <w:r>
        <w:t xml:space="preserve">activities commonly associated with human trafficking;</w:t>
      </w:r>
    </w:p>
    <w:p w:rsidR="003F3435" w:rsidRDefault="0032493E">
      <w:pPr>
        <w:spacing w:line="480" w:lineRule="auto"/>
        <w:ind w:firstLine="1440"/>
        <w:jc w:val="both"/>
      </w:pPr>
      <w:r>
        <w:t xml:space="preserve">(2)</w:t>
      </w:r>
      <w:r xml:space="preserve">
        <w:t> </w:t>
      </w:r>
      <w:r xml:space="preserve">
        <w:t> </w:t>
      </w:r>
      <w:r>
        <w:t xml:space="preserve">recognition of potential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methods for assisting victims of human trafficking, including how to report human trafficking</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assault and domestic violence awareness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the Texas Commission of Licensing and Regulation shall adopt rules to implement Section 1602.354(c),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1602.354(c), Occupations Code, as amended by this Act, and the rules adopted under Subsection (a) of this section apply only to a continuing education program provided on or after September 1, 2020.  A continuing education program provided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