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Paul, Metcalf,</w:t>
      </w:r>
      <w:r xml:space="preserve">
        <w:tab wTab="150" tlc="none" cTlc="0"/>
      </w:r>
      <w:r>
        <w:t xml:space="preserve">H.B.</w:t>
      </w:r>
      <w:r xml:space="preserve">
        <w:t> </w:t>
      </w:r>
      <w:r>
        <w:t xml:space="preserve">No.</w:t>
      </w:r>
      <w:r xml:space="preserve">
        <w:t> </w:t>
      </w:r>
      <w:r>
        <w:t xml:space="preserve">477</w:t>
      </w:r>
    </w:p>
    <w:p w:rsidR="003F3435" w:rsidRDefault="0032493E">
      <w:pPr>
        <w:jc w:val="both"/>
      </w:pPr>
      <w:r xml:space="preserve">
        <w:t> </w:t>
      </w:r>
      <w:r xml:space="preserve">
        <w:t> </w:t>
      </w:r>
      <w:r xml:space="preserve">
        <w:t> </w:t>
      </w:r>
      <w:r xml:space="preserve">
        <w:t> </w:t>
      </w:r>
      <w:r xml:space="preserve">
        <w:t> </w:t>
      </w:r>
      <w:r>
        <w:t xml:space="preserve">González of El Paso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required before the issuance of certain debt obligations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3.009, Election Code, is amended to read as follows:</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CONTENTS OF DEBT OBLIGATION ELECTION ORDER.  (a)  In this section, "debt obligation" means an issued public security, as defined by Section 1201.002, Government Code, that is secured by </w:t>
      </w:r>
      <w:r>
        <w:rPr>
          <w:u w:val="single"/>
        </w:rPr>
        <w:t xml:space="preserve">and payable from</w:t>
      </w:r>
      <w:r>
        <w:t xml:space="preserve"> ad valorem taxes.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w:t>
      </w:r>
      <w:r>
        <w:rPr>
          <w:strike/>
        </w:rPr>
        <w:t xml:space="preserve">annual</w:t>
      </w:r>
      <w:r>
        <w:t xml:space="preserv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w:t>
      </w:r>
      <w:r>
        <w:rPr>
          <w:u w:val="single"/>
        </w:rPr>
        <w:t xml:space="preserve">the maximum number of years authorized by law</w:t>
      </w:r>
      <w:r>
        <w:t xml:space="preserve"> [</w:t>
      </w:r>
      <w:r>
        <w:rPr>
          <w:strike/>
        </w:rPr>
        <w:t xml:space="preserve">40</w:t>
      </w:r>
      <w:r>
        <w:t xml:space="preserve">];</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w:t>
      </w:r>
      <w:r>
        <w:rPr>
          <w:u w:val="single"/>
        </w:rPr>
        <w:t xml:space="preserve">date</w:t>
      </w:r>
      <w:r>
        <w:t xml:space="preserve"> [</w:t>
      </w:r>
      <w:r>
        <w:rPr>
          <w:strike/>
        </w:rPr>
        <w:t xml:space="preserve">beginning of the political subdivision's fiscal year in which</w:t>
      </w:r>
      <w:r>
        <w:t xml:space="preserv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w:t>
      </w:r>
      <w:r>
        <w:rPr>
          <w:u w:val="single"/>
        </w:rPr>
        <w:t xml:space="preserve">date</w:t>
      </w:r>
      <w:r>
        <w:t xml:space="preserve"> [</w:t>
      </w:r>
      <w:r>
        <w:rPr>
          <w:strike/>
        </w:rPr>
        <w:t xml:space="preserve">beginning of the political subdivision's fiscal year in which</w:t>
      </w:r>
      <w:r>
        <w:t xml:space="preserve">] the election is ordered</w:t>
      </w:r>
      <w:r>
        <w:rPr>
          <w:u w:val="single"/>
        </w:rPr>
        <w:t xml:space="preserve">, which may be based on the political subdivision's expectations relative to variable rate debt obligations</w:t>
      </w:r>
      <w:r>
        <w:t xml:space="preserve">;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 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with at least 250 registered voters on the date the governing body of the political subdivision adopts the debt obligation election order must prepare a voter information document for each proposition to be voted on at the election. The political subdivision shall post the voter information document in the same manner as a debt obligation election order is required to be posted under Section 4.003(f), Election Code, and may include the voter information document in the debt obligation election order. 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debt obligations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for the debt obligations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debt obligations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political subdivision adopts the debt obligation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political subdivision;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political subdivision shall identify in the voter information document the major assumptions made in connection with the statement required by Subsection (b)(3),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debt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provides the ballot proposition language for an election to authorize the issuance of debt obligations by a political subdivision. 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271.049, Local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w:t>
      </w:r>
      <w:r>
        <w:rPr>
          <w:u w:val="single"/>
        </w:rPr>
        <w:t xml:space="preserve">45th</w:t>
      </w:r>
      <w:r>
        <w:t xml:space="preserve"> [</w:t>
      </w:r>
      <w:r>
        <w:rPr>
          <w:strike/>
        </w:rPr>
        <w:t xml:space="preserve">30th</w:t>
      </w:r>
      <w:r>
        <w:t xml:space="preserve">]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issuer maintains an Internet website, continuously on the issuer's website for at least 45 days before the date tentatively set for the passage of the order or ordinance authorizing the issuance of the certificates</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maximum amount and</w:t>
      </w:r>
      <w:r>
        <w:t xml:space="preserve">] purpose of the certificates to be authorized;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then-current principal of all outstanding debt obligations of the issuer;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principal amount of the certificates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"debt obligation" means a public security, as defined by Section 1201.002, Government Code, secured by and payable from ad valorem taxes. The term does not include public securities that are designated as self-supporting by the political subdivision issuing the securities.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271.049, Local Government Code, apply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