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review board to direct changes in the appraisal roll and related appraisal records if a residence homestead is sold for less than the appraised value.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(l),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records as provided by this subsection.  The board may order the appraised value of the owner's property in the current tax year and either of the two preceding tax years to be changed to the sales price of the property in the current tax year if, for each tax year for which the change is to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qualifies as that owner's residence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price of the property is at least 10 percent less than the appraised value of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makes a finding that the sales price reflects the market value of the property.</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w:t>
      </w:r>
      <w:r>
        <w:rPr>
          <w:u w:val="single"/>
        </w:rPr>
        <w:t xml:space="preserve">or other matter</w:t>
      </w:r>
      <w:r>
        <w:t xml:space="preserve">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w:t>
      </w:r>
      <w:r xml:space="preserve">
        <w:t> </w:t>
      </w:r>
      <w:r xml:space="preserve">
        <w:t> </w:t>
      </w:r>
      <w:r>
        <w:t xml:space="preserve">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(l)</w:t>
      </w:r>
      <w:r xml:space="preserve">
        <w:t> </w:t>
      </w:r>
      <w:r xml:space="preserve">
        <w:t> </w:t>
      </w:r>
      <w:r>
        <w:t xml:space="preserve">A motion may be filed under Subsection (c) </w:t>
      </w:r>
      <w:r>
        <w:rPr>
          <w:u w:val="single"/>
        </w:rPr>
        <w:t xml:space="preserve">or (c-1)</w:t>
      </w:r>
      <w:r>
        <w:t xml:space="preserve"> regardless of whether, for a tax year to which the motion relates, the owner of the property protested under Chapter 41 an action relating to the value of the property that is the subject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