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86R3205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local option exemption from ad valorem taxation of a portion of the appraised value of certain property damaged by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11.35.</w:t>
      </w:r>
      <w:r>
        <w:rPr>
          <w:u w:val="single"/>
        </w:rPr>
        <w:t xml:space="preserve"> </w:t>
      </w:r>
      <w:r>
        <w:rPr>
          <w:u w:val="single"/>
        </w:rPr>
        <w:t xml:space="preserve"> </w:t>
      </w:r>
      <w:r>
        <w:rPr>
          <w:u w:val="single"/>
        </w:rPr>
        <w:t xml:space="preserve">TEMPORARY EXEMPTION FOR QUALIFIED PROPERTY DAMAGED BY DISASTER.  (a)  In this section, "qualified property" means property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tangible personal property used for the production of income;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to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an area declared by the governor to be a disaster area following a disaster;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at least 15 percent damaged by the disaster, as determined by the chief appraiser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property described by Subdivision (1)(A), is the subject of a rendition statement or property report filed by the property owner under Section 22.01 that demonstrates that the property had taxable situs in the disaster area for the tax year in which the disaster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by a taxing unit of a portion of the appraised value of qualified property that the person owns if the exemption is adopted by the governing body of the taxing unit in the manner provided by law for official action by the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exemption adopted by the governing body of a taxing unit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disaster to which the exemption pertains;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adopted not later than the 60th day after the date the governor first declares territory in the taxing unit to be a disaster area as a result of the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taxing unit the governing body of which adopts an exemption under this section shall, not later than the seventh day after the date the governing body adopts the exemption, notify the chief appraiser of each appraisal district in which the taxing unit participates, the assessor for the taxing unit, and the comptroller of the adoption of the exemption.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an application for the exemption authorized by this section, the chief appraiser shall determine whether any item of qualified property that is the subject of the application is at least 15 percent damaged by the disaster and assign to each such item of qualified property a damage assessment rating of Level I, Level II, Level III, or Level IV, as appropriate, as provided by Subsection (f).  In determining the appropriate damage assessment rating, the chief appraiser may rely on information provided by a county emergency management authority, the Federal Emergency Management Agency, or any other source the chief appraiser considers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appraiser shall assign to an item of qualified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Level I damage assessment rating if the property is at least 15 percent, but less than 30 percent, damaged, meaning that the property suffered minimal damage and may continue to be used as intended;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Level II damage assessment rating if the property is at least 30 percent, but less than 60 percent, damaged, which, for qualified property described by Subsection (a)(1)(B), means that the property has suffered only nonstructural damage, including nonstructural damage to the roof, walls, foundation, or mechanical components, and the waterline, if any, is less than 18 inches above the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Level III damage assessment rating if the property is at least 60 percent damaged but is not a total loss, which, for qualified property described by Subsection (a)(1)(B), means that the property has suffered significant structural damage requiring extensive repair due to the failure or partial failure of structural elements, wall elements, or the foundation, or the waterline is at least 18 inches above the floor;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Level IV damage assessment rating if the property is a total loss, meaning that repair of the property is not feasible.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the amount of the exemption authorized by this section for an item of qualified property is determined by multiplying the appraised value, determined for the tax year in which the disaster occurred, of the property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 percent, if the property is assigned a Level I damage assessment rating;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30 percent, if the property is assigned a Level II damage assessment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60 percent, if the property is assigned a Level III damage assessment rating;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100 percent, if the property is assigned a Level IV damage assessment rating.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qualifies for the exemption authorized by this section after the beginning of the tax year, the amount of the exemption is calculated by multiplying the amount determined under Subsection (g) by a fraction, the denominator of which is 365 and the numerator of which is the number of days remaining in the tax year after the day on which the governor first declares the area in which the person's qualified property is located to be a disaster area, including the day on which the governor makes the declaration.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person qualifies for the exemption authorized by this section after the amount of the tax due on the qualified property is calculated and the effect of the qualification is to reduce the amount of the tax due on the property, the assessor for each taxing unit that has adopted the exemption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paid the tax the amount by which the payment exceeded the tax due.  No interest is due on an amount refunded under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exemption authorized by this section expires as to an item of qualified property on January 1 of the first tax year in which the property is reappraised under Section 25.18.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11.42(e), Tax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qualifies for an exemption under Section 11.131 </w:t>
      </w:r>
      <w:r>
        <w:rPr>
          <w:u w:val="single"/>
        </w:rPr>
        <w:t xml:space="preserve">or 11.35</w:t>
      </w:r>
      <w:r>
        <w:t xml:space="preserve"> after January 1 of a tax year may receive the exemption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 Tax Code, is amended by amending Subsection (c) and adding Subsection (s)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w:t>
      </w:r>
      <w:r>
        <w:rPr>
          <w:strike/>
        </w:rPr>
        <w:t xml:space="preserve">or</w:t>
      </w:r>
      <w:r>
        <w:t xml:space="preserve">] 11.315, </w:t>
      </w:r>
      <w:r>
        <w:rPr>
          <w:u w:val="single"/>
        </w:rPr>
        <w:t xml:space="preserve">or 11.35,</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A person who qualifies for an exemption under Section 11.35 must apply for the exemption not later than the 45th day after the date the governing body of the taxing unit adopts the exemption, provided that the chief appraiser may extend the deadline for good cause shown.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11.45, Tax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chief appraiser approves, modifies, or denies an application for an exemption under Section 11.35, the chief appraiser shall deliver a written notice of the approval, modification, or denial to the applicant not later than the fifth day after the date the chief appraiser makes the determination.  The notice must include the damage assessment rating assigned by the chief appraiser to each item of qualified property that is the subject of the application and a brief explanation of the procedures for protesting the chief appraiser's determination.  The notice required under this subsection is in lieu of any notice that would otherwise be required under Subsection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26.012(15), Tax Code, is amended to read as follows:</w:t>
      </w:r>
    </w:p>
    <w:p w:rsidR="003F3435" w:rsidRDefault="0032493E">
      <w:pPr>
        <w:spacing w:line="480" w:lineRule="auto"/>
        <w:ind w:firstLine="1440"/>
        <w:jc w:val="both"/>
      </w:pPr>
      <w:r>
        <w:t xml:space="preserve">(15)</w:t>
      </w:r>
      <w:r xml:space="preserve">
        <w:t> </w:t>
      </w:r>
      <w:r xml:space="preserve">
        <w:t> </w:t>
      </w:r>
      <w:r>
        <w:t xml:space="preserve">"Lost property levy" means the amount of taxes levied in the preceding year on property value that was taxable in the preceding year but is not taxable in the current year because the property is exempt in the current year under a provision of this code other than Section 11.251</w:t>
      </w:r>
      <w:r>
        <w:rPr>
          <w:u w:val="single"/>
        </w:rPr>
        <w:t xml:space="preserve">,</w:t>
      </w:r>
      <w:r>
        <w:t xml:space="preserve"> [</w:t>
      </w:r>
      <w:r>
        <w:rPr>
          <w:strike/>
        </w:rPr>
        <w:t xml:space="preserve">or</w:t>
      </w:r>
      <w:r>
        <w:t xml:space="preserve">] 11.253, </w:t>
      </w:r>
      <w:r>
        <w:rPr>
          <w:u w:val="single"/>
        </w:rPr>
        <w:t xml:space="preserve">or 11.35,</w:t>
      </w:r>
      <w:r>
        <w:t xml:space="preserve"> the property has qualified for special appraisal under Chapter 23 in the current year, or the property is located in territory that has ceased to be a part of the </w:t>
      </w:r>
      <w:r>
        <w:rPr>
          <w:u w:val="single"/>
        </w:rPr>
        <w:t xml:space="preserve">taxing</w:t>
      </w:r>
      <w:r>
        <w:t xml:space="preserve"> unit since the preceding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41.03(a), Tax Code, is amended to read as follows:</w:t>
      </w:r>
    </w:p>
    <w:p w:rsidR="003F3435" w:rsidRDefault="0032493E">
      <w:pPr>
        <w:spacing w:line="480" w:lineRule="auto"/>
        <w:ind w:firstLine="720"/>
        <w:jc w:val="both"/>
      </w:pPr>
      <w:r>
        <w:t xml:space="preserve">(a)</w:t>
      </w:r>
      <w:r xml:space="preserve">
        <w:t> </w:t>
      </w:r>
      <w:r xml:space="preserve">
        <w:t> </w:t>
      </w:r>
      <w:r>
        <w:t xml:space="preserve">A taxing unit is entitled to challenge before the appraisal review board:</w:t>
      </w:r>
    </w:p>
    <w:p w:rsidR="003F3435" w:rsidRDefault="0032493E">
      <w:pPr>
        <w:spacing w:line="480" w:lineRule="auto"/>
        <w:ind w:firstLine="1440"/>
        <w:jc w:val="both"/>
      </w:pPr>
      <w:r>
        <w:t xml:space="preserve">(1)</w:t>
      </w:r>
      <w:r xml:space="preserve">
        <w:t> </w:t>
      </w:r>
      <w:r xml:space="preserve">
        <w:t> </w:t>
      </w:r>
      <w:r>
        <w:t xml:space="preserve">the level of appraisals of any category of property in the district or in any territory in the district, but not the appraised value of a single taxpayer's property;</w:t>
      </w:r>
    </w:p>
    <w:p w:rsidR="003F3435" w:rsidRDefault="0032493E">
      <w:pPr>
        <w:spacing w:line="480" w:lineRule="auto"/>
        <w:ind w:firstLine="1440"/>
        <w:jc w:val="both"/>
      </w:pPr>
      <w:r>
        <w:t xml:space="preserve">(2)</w:t>
      </w:r>
      <w:r xml:space="preserve">
        <w:t> </w:t>
      </w:r>
      <w:r xml:space="preserve">
        <w:t> </w:t>
      </w:r>
      <w:r>
        <w:t xml:space="preserve">an exclusion of property from the appraisal records;</w:t>
      </w:r>
    </w:p>
    <w:p w:rsidR="003F3435" w:rsidRDefault="0032493E">
      <w:pPr>
        <w:spacing w:line="480" w:lineRule="auto"/>
        <w:ind w:firstLine="1440"/>
        <w:jc w:val="both"/>
      </w:pPr>
      <w:r>
        <w:t xml:space="preserve">(3)</w:t>
      </w:r>
      <w:r xml:space="preserve">
        <w:t> </w:t>
      </w:r>
      <w:r xml:space="preserve">
        <w:t> </w:t>
      </w:r>
      <w:r>
        <w:t xml:space="preserve">a grant in whole or in part of a partial exemption</w:t>
      </w:r>
      <w:r>
        <w:rPr>
          <w:u w:val="single"/>
        </w:rPr>
        <w:t xml:space="preserve">, other than an exemption under Section 11.35</w:t>
      </w:r>
      <w:r>
        <w:t xml:space="preserve">;</w:t>
      </w:r>
    </w:p>
    <w:p w:rsidR="003F3435" w:rsidRDefault="0032493E">
      <w:pPr>
        <w:spacing w:line="480" w:lineRule="auto"/>
        <w:ind w:firstLine="1440"/>
        <w:jc w:val="both"/>
      </w:pPr>
      <w:r>
        <w:t xml:space="preserve">(4)</w:t>
      </w:r>
      <w:r xml:space="preserve">
        <w:t> </w:t>
      </w:r>
      <w:r xml:space="preserve">
        <w:t> </w:t>
      </w:r>
      <w:r>
        <w:t xml:space="preserve">a determination that land qualifies for appraisal as provided by Subchapter C, D, E, or H, Chapter 23; or</w:t>
      </w:r>
    </w:p>
    <w:p w:rsidR="003F3435" w:rsidRDefault="0032493E">
      <w:pPr>
        <w:spacing w:line="480" w:lineRule="auto"/>
        <w:ind w:firstLine="1440"/>
        <w:jc w:val="both"/>
      </w:pPr>
      <w:r>
        <w:t xml:space="preserve">(5)</w:t>
      </w:r>
      <w:r xml:space="preserve">
        <w:t> </w:t>
      </w:r>
      <w:r xml:space="preserve">
        <w:t> </w:t>
      </w:r>
      <w:r>
        <w:rPr>
          <w:u w:val="single"/>
        </w:rPr>
        <w:t xml:space="preserve">a</w:t>
      </w:r>
      <w:r>
        <w:t xml:space="preserve"> failure to identify the taxing unit as one in which a particular property is taxable.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41.41,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property owner is entitled to protest before the appraisal review board only the following actions of the chief appraiser in relation to an exemption under Section 11.35: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modification or denial of an application for an exemption under that section;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of the appropriate damage assessment rating for an item of qualified property under that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41.44(a),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D, E, or H, Chapter 23, has occurred, not later than the 30th day after the date the notice of the determination is delivered to the property owner;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in the case of a determination of eligibility for a refund under Section 23.1243, not later than the 30th day after the date the notice of the determination is delivered to the property owner</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w:t>
      </w:r>
    </w:p>
    <w:p w:rsidR="003F3435" w:rsidRDefault="0032493E">
      <w:pPr>
        <w:spacing w:line="480" w:lineRule="auto"/>
        <w:ind w:firstLine="2160"/>
        <w:jc w:val="both"/>
      </w:pPr>
      <w:r>
        <w:t xml:space="preserve">(A)</w:t>
      </w:r>
      <w:r xml:space="preserve">
        <w:t> </w:t>
      </w:r>
      <w:r xml:space="preserve">
        <w:t> </w:t>
      </w:r>
      <w:r>
        <w:t xml:space="preserve">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 or</w:t>
      </w:r>
    </w:p>
    <w:p w:rsidR="003F3435" w:rsidRDefault="0032493E">
      <w:pPr>
        <w:spacing w:line="480" w:lineRule="auto"/>
        <w:ind w:firstLine="2160"/>
        <w:jc w:val="both"/>
      </w:pPr>
      <w:r>
        <w:t xml:space="preserve">(B)</w:t>
      </w:r>
      <w:r xml:space="preserve">
        <w:t> </w:t>
      </w:r>
      <w:r xml:space="preserve">
        <w:t> </w:t>
      </w:r>
      <w:r>
        <w:t xml:space="preserve">action taken by the district under Subchapter B or C, Chapter 313, Tax Code, before the expiration of the subchapter;</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w:t>
      </w:r>
      <w:r>
        <w:rPr>
          <w:u w:val="single"/>
        </w:rPr>
        <w:t xml:space="preserve">; and</w:t>
      </w:r>
      <w:r>
        <w:t xml:space="preserve"> </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total dollar amount of any exemptions granted under Section 11.35, Tax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23.02, Tax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11.35, Tax Code, as added by 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2020, but only if the constitutional amendment proposed by the 86th Legislature, Regular Session, 2019, authorizing the legislature to provide for a temporary local option exemption from ad valorem taxation of a portion of the appraised value of certain property damaged by a disaster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