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Gervin-Hawkins, Bernal, Allison</w:t>
      </w:r>
      <w:r xml:space="preserve">
        <w:tab wTab="150" tlc="none" cTlc="0"/>
      </w:r>
      <w:r>
        <w:t xml:space="preserve">H.B.</w:t>
      </w:r>
      <w:r xml:space="preserve">
        <w:t> </w:t>
      </w:r>
      <w:r>
        <w:t xml:space="preserve">No.</w:t>
      </w:r>
      <w:r xml:space="preserve">
        <w:t> </w:t>
      </w:r>
      <w:r>
        <w:t xml:space="preserve">496</w:t>
      </w:r>
    </w:p>
    <w:p w:rsidR="003F3435" w:rsidRDefault="0032493E">
      <w:pPr>
        <w:spacing w:line="480" w:lineRule="auto"/>
        <w:jc w:val="both"/>
      </w:pPr>
      <w:r xml:space="preserve">
        <w:t> </w:t>
      </w:r>
      <w:r xml:space="preserve">
        <w:t> </w:t>
      </w:r>
      <w:r xml:space="preserve">
        <w:t> </w:t>
      </w:r>
      <w:r xml:space="preserve">
        <w:t> </w:t>
      </w:r>
      <w:r xml:space="preserve">
        <w:t> </w:t>
      </w:r>
      <w:r>
        <w:t xml:space="preserve">(Senate Sponsor</w:t>
      </w:r>
      <w:r xml:space="preserve">
        <w:t> </w:t>
      </w:r>
      <w:r>
        <w:t xml:space="preserve">-</w:t>
      </w:r>
      <w:r xml:space="preserve">
        <w:t> </w:t>
      </w:r>
      <w:r>
        <w:t xml:space="preserve">Lucio)</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13,</w:t>
      </w:r>
      <w:r xml:space="preserve">
        <w:t> </w:t>
      </w:r>
      <w:r>
        <w:t xml:space="preserve">2019; May</w:t>
      </w:r>
      <w:r xml:space="preserve">
        <w:t> </w:t>
      </w:r>
      <w:r>
        <w:t xml:space="preserve">14,</w:t>
      </w:r>
      <w:r xml:space="preserve">
        <w:t> </w:t>
      </w:r>
      <w:r>
        <w:t xml:space="preserve">2019, read first time and referred to Committee on Education; May</w:t>
      </w:r>
      <w:r xml:space="preserve">
        <w:t> </w:t>
      </w:r>
      <w:r>
        <w:t xml:space="preserve">17,</w:t>
      </w:r>
      <w:r xml:space="preserve">
        <w:t> </w:t>
      </w:r>
      <w:r>
        <w:t xml:space="preserve">2019, reported adversely, with favorable Committee Substitute by the following vote:</w:t>
      </w:r>
      <w:r>
        <w:t xml:space="preserve"> </w:t>
      </w:r>
      <w:r>
        <w:t xml:space="preserve"> </w:t>
      </w:r>
      <w:r>
        <w:t xml:space="preserve">Yeas 9, Nays 2; May</w:t>
      </w:r>
      <w:r xml:space="preserve">
        <w:t> </w:t>
      </w:r>
      <w:r>
        <w:t xml:space="preserve">17,</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Taylor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w:rPr>
          <w:u w:val="single"/>
        </w:rPr>
        <w:t xml:space="preserve">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Lucio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Bettencourt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Fallon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Paxton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Watson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H.B.</w:t>
      </w:r>
      <w:r xml:space="preserve">
        <w:t> </w:t>
      </w:r>
      <w:r>
        <w:t xml:space="preserve">No.</w:t>
      </w:r>
      <w:r xml:space="preserve">
        <w:t> </w:t>
      </w:r>
      <w:r>
        <w:t xml:space="preserve">496</w:t>
      </w:r>
      <w:r xml:space="preserve">
        <w:tab wTab="150" tlc="none" cTlc="0"/>
      </w:r>
      <w:r>
        <w:t xml:space="preserve">By:</w:t>
      </w:r>
      <w:r xml:space="preserve">
        <w:t> </w:t>
      </w:r>
      <w:r xml:space="preserve">
        <w:t> </w:t>
      </w:r>
      <w:r>
        <w:t xml:space="preserve">Lucio</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traumatic injury response protocol and the use of bleeding control kits in public schools.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38, Education Code, is amended by adding Section 38.030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38.030.</w:t>
      </w:r>
      <w:r>
        <w:rPr>
          <w:u w:val="single"/>
        </w:rPr>
        <w:t xml:space="preserve"> </w:t>
      </w:r>
      <w:r>
        <w:rPr>
          <w:u w:val="single"/>
        </w:rPr>
        <w:t xml:space="preserve"> </w:t>
      </w:r>
      <w:r>
        <w:rPr>
          <w:u w:val="single"/>
        </w:rPr>
        <w:t xml:space="preserve">TRAUMATIC INJURY RESPONSE PROTOCOL.  (a) </w:t>
      </w:r>
      <w:r>
        <w:rPr>
          <w:u w:val="single"/>
        </w:rPr>
        <w:t xml:space="preserve"> </w:t>
      </w:r>
      <w:r>
        <w:rPr>
          <w:u w:val="single"/>
        </w:rPr>
        <w:t xml:space="preserve">A school district or open-enrollment charter school shall develop and annually make available a protocol for school employees and volunteers to follow in the event of a traumatic injury.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protocol required under this section must provide for a school district or open-enrollment charter school to maintain and make available to school employees and volunteers a bleeding control kit for use in the event of a traumatic injury involving blood loss.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bleeding control kit required under this section must be a first aid response kit that includes: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tourniquet approved for use in battlefield trauma care by the armed forces of the United States;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compression bandages;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bleeding control bandages;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protective gloves;</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markers;</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scissors; and</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instructional documents developed by the American College of Surgeons or the United States Department of Homeland Security detailing methods to prevent blood loss following a traumatic event.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In addition to the items listed under Subsection (c), a school district or open-enrollment charter school may also include in a bleeding control kit any medical material or equipment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be readily stored in a bleeding control kit;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be used to adequately treat an injury involving traumatic blood loss;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approved by local law enforcement or emergency medical services personnel.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good faith use of a bleeding control kit by a school district or open-enrollment charter school employee to control the bleeding of an injured person is incident to or within the scope of the duties of the employee's position of employment and involves the exercise of judgment or discretion on the part of the employee for purposes of Section 22.0511, and a school district or open-enrollment charter school and the employees of the district or school are immune from civil liability, as provided by that section, from damages or injuries resulting from that good faith use of a bleeding control kit.  A school district or open-enrollment charter school volunteer is immune from civil liability from damages or injuries resulting from the good faith use of a bleeding control kit to the same extent as a professional employee of the district or school, as provided by Section 22.053.</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Nothing in this section limits the immunity from liability of a school district, open-enrollment charter school, or district or school employee or volunteer under: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Sections 22.0511 and 22.053;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101.051, Civil Practice and Remedies Code;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any other applicable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This section does not create a cause of action against a school district or open-enrollment charter school or the employees or volunteers of the district or school.</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and not later than January 1, 2020, each school district and open-enrollment charter school shall develop and implement the traumatic injury response protocol required by Section 38.030, Education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496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