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training regarding fire safety inspections required by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419.909(a),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Only an individual certified by the commission as a fire inspector may conduct a fire safety inspection required by a state or local law, rule, regulation, or ordinance. </w:t>
      </w:r>
      <w:r>
        <w:rPr>
          <w:u w:val="single"/>
        </w:rPr>
        <w:t xml:space="preserve">The following entities may provide training related to fire safety inspections: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Firemen's and Fire Marshals' Association of Texas;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National Fire Protection Association;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junior college;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regional fire academy;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state agency with authority over fire safety inspections.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