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86R13611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task force to coordinate and make recommendations on parent engagement and education programs provided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L-1 to read as follows:</w:t>
      </w:r>
    </w:p>
    <w:p w:rsidR="003F3435" w:rsidRDefault="0032493E">
      <w:pPr>
        <w:spacing w:line="480" w:lineRule="auto"/>
        <w:jc w:val="center"/>
      </w:pPr>
      <w:r>
        <w:rPr>
          <w:u w:val="single"/>
        </w:rPr>
        <w:t xml:space="preserve">SUBCHAPTER L-1.  TASK FORCE ON PARENT ENGAGEMENT AND EDUCATION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531.431.</w:t>
      </w:r>
      <w:r>
        <w:rPr>
          <w:u w:val="single"/>
        </w:rPr>
        <w:t xml:space="preserve"> </w:t>
      </w:r>
      <w:r>
        <w:rPr>
          <w:u w:val="single"/>
        </w:rPr>
        <w:t xml:space="preserve"> </w:t>
      </w:r>
      <w:r>
        <w:rPr>
          <w:u w:val="single"/>
        </w:rPr>
        <w:t xml:space="preserve">DEFINITION.  In this subchapter, "task force," unless the context requires otherwise, means the task force on parent engagement and education programs established under Section 531.432.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531.432.</w:t>
      </w:r>
      <w:r>
        <w:rPr>
          <w:u w:val="single"/>
        </w:rPr>
        <w:t xml:space="preserve"> </w:t>
      </w:r>
      <w:r>
        <w:rPr>
          <w:u w:val="single"/>
        </w:rPr>
        <w:t xml:space="preserve"> </w:t>
      </w:r>
      <w:r>
        <w:rPr>
          <w:u w:val="single"/>
        </w:rPr>
        <w:t xml:space="preserve">ESTABLISHMENT OF TASK FORCE.  The task force on parent engagement and education programs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coordination of parent engagement and evidence-based parent education programs across state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comprehensive, statewide best practices for engaging parents as their children's first and best teachers.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531.433.</w:t>
      </w:r>
      <w:r>
        <w:rPr>
          <w:u w:val="single"/>
        </w:rPr>
        <w:t xml:space="preserve"> </w:t>
      </w:r>
      <w:r>
        <w:rPr>
          <w:u w:val="single"/>
        </w:rPr>
        <w:t xml:space="preserve"> </w:t>
      </w:r>
      <w:r>
        <w:rPr>
          <w:u w:val="single"/>
        </w:rPr>
        <w:t xml:space="preserve">COMPOSITION OF TASK FORCE.  The task force is composed of 13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commissioner of the Texas Education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executive director of the Texas Department of Criminal Justice;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executive director of the Texas Juvenile Justice Department;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of the Hurricane Harvey Task Force on School Mental Health Supports appointed by the governor or, if the task force described by this subdivision does not exist, one person appointed by the governor who has experience in the mental health field;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of a county juvenile board or juvenile probation department appointed by the presiding officer of the task force;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of a faith-based organization appointed by the presiding officer of the task force;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person appointed by the presiding officer of the task force who has experienced challenges meant to be addressed by a parent engagement or education program;</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the law enforcement community appointed by the presiding officer of the task force;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two persons appointed by the presiding officer of the task force, each of whom is a parent of or person standing in parental relation to a school-age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531.434.</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executive commissioner shall serve as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531.435. VACANCY. A vacancy for an appointed member of the task force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531.436.</w:t>
      </w:r>
      <w:r>
        <w:rPr>
          <w:u w:val="single"/>
        </w:rPr>
        <w:t xml:space="preserve"> </w:t>
      </w:r>
      <w:r>
        <w:rPr>
          <w:u w:val="single"/>
        </w:rPr>
        <w:t xml:space="preserve"> </w:t>
      </w:r>
      <w:r>
        <w:rPr>
          <w:u w:val="single"/>
        </w:rPr>
        <w:t xml:space="preserve">MEETINGS.  The task force shall meet at least quarterly at the call of the presiding officer.  The task force shall meet at other times as determined by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531.437.</w:t>
      </w:r>
      <w:r>
        <w:rPr>
          <w:u w:val="single"/>
        </w:rPr>
        <w:t xml:space="preserve"> </w:t>
      </w:r>
      <w:r>
        <w:rPr>
          <w:u w:val="single"/>
        </w:rPr>
        <w:t xml:space="preserve"> </w:t>
      </w:r>
      <w:r>
        <w:rPr>
          <w:u w:val="single"/>
        </w:rPr>
        <w:t xml:space="preserve">DUTIES.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reports and testimony from individuals, state and local governmental agencies, community-based organizations, and other public and private organizations regarding parent engagement and evidence-based parent education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parent engagement and evidence-based parent education programs that are being implemented in this state and describe opportunities for improved coordination among those programs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the programs' effectiveness and funding;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align program outcomes;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policy and other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expanding access to parent engagement and evidence-based parent education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establishing comprehensive statewide best practice guidelines for those programs;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establishing methods for using existing administrative and program data to identify and target program services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appropriate parents in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communities with the greatest need for the program 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families exhibiting high levels of risk factors, which include a preterm birth, poverty, having low parent educational attainment, having one or more teenage parents, having poor maternal health, and having parent unemployment or underemployment.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531.438.</w:t>
      </w:r>
      <w:r>
        <w:rPr>
          <w:u w:val="single"/>
        </w:rPr>
        <w:t xml:space="preserve"> </w:t>
      </w:r>
      <w:r>
        <w:rPr>
          <w:u w:val="single"/>
        </w:rPr>
        <w:t xml:space="preserve"> </w:t>
      </w:r>
      <w:r>
        <w:rPr>
          <w:u w:val="single"/>
        </w:rPr>
        <w:t xml:space="preserve">REPORT.  (a)  The task force shall prepare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findings and recommendations of the task force, including recommendations described by Section 531.437(3);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legislation or recommendations or information on any other relevant matter that the task force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task force shall submit the report prepared under this section to the governor, the lieutenant governor, the speaker of the house of representatives, and the presiding officers of the standing committees of the senate and house of representatives having primary jurisdiction over issues relating to parent engagement and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531.439.</w:t>
      </w:r>
      <w:r>
        <w:rPr>
          <w:u w:val="single"/>
        </w:rPr>
        <w:t xml:space="preserve"> </w:t>
      </w:r>
      <w:r>
        <w:rPr>
          <w:u w:val="single"/>
        </w:rPr>
        <w:t xml:space="preserve"> </w:t>
      </w:r>
      <w:r>
        <w:rPr>
          <w:u w:val="single"/>
        </w:rPr>
        <w:t xml:space="preserve">RESPONSIBILITY OF COMMISSION.  The commission shall provide reasonably necessary administrative and technical support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531.440.</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Appointed 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531.441.</w:t>
      </w:r>
      <w:r>
        <w:rPr>
          <w:u w:val="single"/>
        </w:rPr>
        <w:t xml:space="preserve"> </w:t>
      </w:r>
      <w:r>
        <w:rPr>
          <w:u w:val="single"/>
        </w:rPr>
        <w:t xml:space="preserve"> </w:t>
      </w:r>
      <w:r>
        <w:rPr>
          <w:u w:val="single"/>
        </w:rPr>
        <w:t xml:space="preserve">APPLICABILITY OF OTHER LAW.  Chapter 2110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531.442.</w:t>
      </w:r>
      <w:r>
        <w:rPr>
          <w:u w:val="single"/>
        </w:rPr>
        <w:t xml:space="preserve"> </w:t>
      </w:r>
      <w:r>
        <w:rPr>
          <w:u w:val="single"/>
        </w:rPr>
        <w:t xml:space="preserve"> </w:t>
      </w:r>
      <w:r>
        <w:rPr>
          <w:u w:val="single"/>
        </w:rPr>
        <w:t xml:space="preserve">GIFTS, GRANTS, AND DONATIONS.  The commission may accept on behalf of the task force a gift, grant, or donation from any source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531.443.</w:t>
      </w:r>
      <w:r>
        <w:rPr>
          <w:u w:val="single"/>
        </w:rPr>
        <w:t xml:space="preserve"> </w:t>
      </w:r>
      <w:r>
        <w:rPr>
          <w:u w:val="single"/>
        </w:rPr>
        <w:t xml:space="preserve"> </w:t>
      </w:r>
      <w:r>
        <w:rPr>
          <w:u w:val="single"/>
        </w:rPr>
        <w:t xml:space="preserve">EXPIRATION.  The task force is abolished and this subchapter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and the executive commissioner of the Health and Human Services Commission shall appoint the members of the task force on parent engagement and education programs as required by Section 531.433,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