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Wilson, Bucy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Schwertner)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511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23,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2019, read first time and referred to Committee on Transportation; May</w:t>
      </w:r>
      <w:r xml:space="preserve">
        <w:t> </w:t>
      </w:r>
      <w:r>
        <w:t xml:space="preserve">9,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511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enforcement of commercial motor vehicle safety standards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644.101(c),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sheriff or a deputy sheriff of </w:t>
      </w:r>
      <w:r>
        <w:rPr>
          <w:u w:val="single"/>
        </w:rPr>
        <w:t xml:space="preserve">any of the following counties</w:t>
      </w:r>
      <w:r>
        <w:t xml:space="preserve"> [</w:t>
      </w:r>
      <w:r>
        <w:rPr>
          <w:strike/>
        </w:rPr>
        <w:t xml:space="preserve">a county bordering the United Mexican States or of a county with a population of 700,000 or more</w:t>
      </w:r>
      <w:r>
        <w:t xml:space="preserve">] is eligible to apply for certification under this section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bordering the United Mexican States;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with a population of 700,000 or more;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with a population of 400,000 or more that borders the county in which the State Capitol is located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644.102, Transportation Code, is amended by adding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may revoke or rescind the authority of a municipality or county to engage in enforcement under this chapter if the municipality or county fails to comply with this section or any standard established under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511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