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86R333 PAM-D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w:t>
      </w:r>
      <w:r xml:space="preserve">
        <w:tab wTab="150" tlc="none" cTlc="0"/>
      </w:r>
      <w:r>
        <w:t xml:space="preserve">H.B.</w:t>
      </w:r>
      <w:r xml:space="preserve">
        <w:t> </w:t>
      </w:r>
      <w:r>
        <w:t xml:space="preserve">No.</w:t>
      </w:r>
      <w:r xml:space="preserve">
        <w:t> </w:t>
      </w:r>
      <w:r>
        <w:t xml:space="preserve">513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pilot program for the distribution of certain contraceptives in participating public school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38, Education Code, is amended by adding Section 38.025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38.025.</w:t>
      </w:r>
      <w:r>
        <w:rPr>
          <w:u w:val="single"/>
        </w:rPr>
        <w:t xml:space="preserve"> </w:t>
      </w:r>
      <w:r>
        <w:rPr>
          <w:u w:val="single"/>
        </w:rPr>
        <w:t xml:space="preserve"> </w:t>
      </w:r>
      <w:r>
        <w:rPr>
          <w:u w:val="single"/>
        </w:rPr>
        <w:t xml:space="preserve">LONG-ACTING REVERSIBLE CONTRACEPTIVE DISTRIBUTION PILOT PROGRAM.  (a)  In this section, "pilot program" means the long-acting reversible contraceptive distribution pilot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Using funds specifically appropriated for the purpose of the pilot program or other funds available to the agency for that purpose, available federal funds, or other funds received as authorized by Subsection (g), the agency, in coordination with the Health and Human Services Commission and the Department of State Health Services, shall establish a pilot program under which a school district participating in the pilot program may distribute or provide for the distribution of long-acting reversible contraceptives to students enrolled in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agency shall designate six school districts to participate in the pilot program.  The agency shall include in the six districts designated: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district located in an urban area;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district located in a rural area;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district to which Chapter 41 applies;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district that is not required to take action under Chapter 41;</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district with a rate of teen pregnancy above the national average at the time of the designation;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district with a rate of teen pregnancy below the national average at the time of the designation.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district designated under Subsection (c) may qualify under multiple criteria described by Subsection (c).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agency by rule shall designate the specific types of long-acting reversible contraceptives that may be distributed to students under the pilot program.</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school district participating in the pilot program may not distribute or provide for the distribution of a long-acting reversible contraceptive to a student who is under 18 years of age unless the school district obtains consent from the parent of or person standing in parental relation to the student.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agency may accept grants and donations to fund the pilot program.</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 later than December 31 of each year that funding is provided for the pilot program, the agency shall provide a report to the legislature evaluating the effectiveness of the pilot program.</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agency, the Health and Human Services Commission, and the Department of State Health Services shall adopt rules as necessary to implement and administer this section.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