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 person who allows handguns to be carried on property owned, leased, or managed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95A to read as follows:</w:t>
      </w:r>
    </w:p>
    <w:p w:rsidR="003F3435" w:rsidRDefault="0032493E">
      <w:pPr>
        <w:spacing w:line="480" w:lineRule="auto"/>
        <w:jc w:val="center"/>
      </w:pPr>
      <w:r>
        <w:rPr>
          <w:u w:val="single"/>
        </w:rPr>
        <w:t xml:space="preserve">CHAPTER 95A. LIMITED LIABILITY FOR CERTAIN PERSONS WHO ALLOW HANDGUNS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95A.001.</w:t>
      </w:r>
      <w:r>
        <w:rPr>
          <w:u w:val="single"/>
        </w:rPr>
        <w:t xml:space="preserve"> </w:t>
      </w:r>
      <w:r>
        <w:rPr>
          <w:u w:val="single"/>
        </w:rPr>
        <w:t xml:space="preserve"> </w:t>
      </w:r>
      <w:r>
        <w:rPr>
          <w:u w:val="single"/>
        </w:rPr>
        <w:t xml:space="preserve">DEFINITION.  In this chapter, "license holder" means a person licensed to carry a handgun under Subchapter H, Chapter 411, Government Code, or a person with a license to carry a handgun issued by another state and recognized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95A.002.</w:t>
      </w:r>
      <w:r>
        <w:rPr>
          <w:u w:val="single"/>
        </w:rPr>
        <w:t xml:space="preserve"> </w:t>
      </w:r>
      <w:r>
        <w:rPr>
          <w:u w:val="single"/>
        </w:rPr>
        <w:t xml:space="preserve"> </w:t>
      </w:r>
      <w:r>
        <w:rPr>
          <w:u w:val="single"/>
        </w:rPr>
        <w:t xml:space="preserve">LIMITED LIABILITY FOR CERTAIN PERSONS WHO ALLOW HANDGUNS.  There is no cause of action against an owner, lessee, or manager of property based on the owner's, lessee's, or manager's decision not to exercise the option to forbid the carrying of handguns by a license holder on the property by providing notice under Sections 30.06 and 30.07,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95A,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